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Bdr>
          <w:bottom w:val="dashed" w:sz="6" w:space="4" w:color="DDDDDD"/>
        </w:pBdr>
        <w:tabs>
          <w:tab w:val="clear" w:pos="737"/>
          <w:tab w:val="left" w:pos="0" w:leader="none"/>
        </w:tabs>
        <w:spacing w:before="0" w:after="225"/>
        <w:ind w:left="0" w:hanging="0"/>
        <w:rPr/>
      </w:pPr>
      <w:r>
        <w:rPr>
          <w:rStyle w:val="Fuentedeprrafopredeter"/>
          <w:b w:val="false"/>
          <w:bCs w:val="false"/>
          <w:color w:val="40495A"/>
          <w:sz w:val="39"/>
          <w:szCs w:val="39"/>
        </w:rPr>
        <w:t>Concejalías de Gobierno – Tenientes de Alcalde</w:t>
      </w:r>
    </w:p>
    <w:p>
      <w:pPr>
        <w:pStyle w:val="Normal1"/>
        <w:widowControl/>
        <w:suppressAutoHyphens w:val="false"/>
        <w:spacing w:lineRule="atLeast" w:line="300"/>
        <w:jc w:val="right"/>
        <w:rPr>
          <w:rFonts w:ascii="Helvetica" w:hAnsi="Helvetica" w:eastAsia="Times New Roman" w:cs="Helvetica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Información revisada en 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noviembre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 xml:space="preserve"> de 202</w:t>
      </w:r>
      <w:r>
        <w:rPr>
          <w:rFonts w:eastAsia="Times New Roman" w:cs="Helvetica" w:ascii="Helvetica" w:hAnsi="Helvetica"/>
          <w:kern w:val="0"/>
          <w:sz w:val="20"/>
          <w:szCs w:val="20"/>
          <w:lang w:eastAsia="es-ES" w:bidi="ar-SA"/>
        </w:rPr>
        <w:t>4</w:t>
      </w:r>
    </w:p>
    <w:p>
      <w:pPr>
        <w:pStyle w:val="Ttulo2"/>
        <w:shd w:fill="FFFFFF" w:val="clear"/>
        <w:spacing w:before="270" w:after="135"/>
        <w:ind w:left="720" w:hanging="0"/>
        <w:rPr>
          <w:rFonts w:ascii="inherit" w:hAnsi="inherit" w:cs="Helvetica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Helvetica" w:ascii="inherit" w:hAnsi="inherit"/>
          <w:b w:val="false"/>
          <w:bCs w:val="false"/>
          <w:color w:val="000000"/>
          <w:sz w:val="26"/>
          <w:szCs w:val="26"/>
        </w:rPr>
        <w:t>Tenientes de Alcalde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La Alcaldesa/el Alcalde podrá nombrar entre los Concejales que formen parte de la Junta de Gobierno a los tenientes de Alcalde, que la/le sustituirán, por el orden de su nombramiento, en los casos de vacantes, ausencia o enfermedad.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Los Tenientes de Alcalde ejercerán las competencias que les deleguen la Alcaldesa/el Alcalde o la Junta de Gobierno, y podrán ostentar o no la titularidad de un Área de Gobierno. El teniente de alcalde que asuma la titularidad de un Área de Gobierno ostentará, además, la condición de Concejal de Gobierno.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Designación</w:t>
      </w:r>
    </w:p>
    <w:p>
      <w:pPr>
        <w:pStyle w:val="Normal1"/>
        <w:widowControl/>
        <w:numPr>
          <w:ilvl w:val="0"/>
          <w:numId w:val="2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hanging="0"/>
        <w:jc w:val="left"/>
        <w:rPr/>
      </w:pPr>
      <w:hyperlink r:id="rId2" w:tgtFrame="_blank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 número 26305/2023, de 19 de junio, de la alcaldesa por el que se nombra a los tenientes de alcalde</w:t>
        </w:r>
      </w:hyperlink>
    </w:p>
    <w:tbl>
      <w:tblPr>
        <w:tblW w:w="8250" w:type="dxa"/>
        <w:jc w:val="left"/>
        <w:tblInd w:w="150" w:type="dxa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2063"/>
        <w:gridCol w:w="6187"/>
      </w:tblGrid>
      <w:tr>
        <w:trPr>
          <w:tblHeader w:val="true"/>
        </w:trPr>
        <w:tc>
          <w:tcPr>
            <w:tcW w:w="8250" w:type="dxa"/>
            <w:gridSpan w:val="2"/>
            <w:tcBorders/>
            <w:shd w:fill="EDEDED" w:val="clear"/>
            <w:vAlign w:val="center"/>
          </w:tcPr>
          <w:p>
            <w:pPr>
              <w:pStyle w:val="Normal1"/>
              <w:spacing w:before="0" w:after="0"/>
              <w:textAlignment w:val="center"/>
              <w:rPr/>
            </w:pPr>
            <w:r>
              <w:rPr>
                <w:rStyle w:val="Textoennegrita"/>
                <w:rFonts w:ascii="inherit" w:hAnsi="inherit"/>
                <w:sz w:val="20"/>
                <w:szCs w:val="20"/>
              </w:rPr>
              <w:t>Nombramiento de Tenientes de Alcalde y su prelación</w:t>
            </w:r>
          </w:p>
        </w:tc>
      </w:tr>
      <w:tr>
        <w:trPr>
          <w:tblHeader w:val="true"/>
        </w:trPr>
        <w:tc>
          <w:tcPr>
            <w:tcW w:w="2063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jc w:val="center"/>
              <w:textAlignment w:val="auto"/>
              <w:rPr/>
            </w:pPr>
            <w:r>
              <w:rPr>
                <w:rStyle w:val="Textoennegrita"/>
                <w:rFonts w:ascii="inherit" w:hAnsi="inherit"/>
                <w:sz w:val="21"/>
                <w:szCs w:val="21"/>
              </w:rPr>
              <w:t>N. Orden</w:t>
            </w:r>
          </w:p>
        </w:tc>
        <w:tc>
          <w:tcPr>
            <w:tcW w:w="6187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jc w:val="left"/>
              <w:rPr/>
            </w:pPr>
            <w:r>
              <w:rPr>
                <w:rStyle w:val="Textoennegrita"/>
                <w:rFonts w:ascii="inherit" w:hAnsi="inherit"/>
                <w:sz w:val="21"/>
                <w:szCs w:val="21"/>
              </w:rPr>
              <w:t>Nombre y Apellidos</w:t>
            </w:r>
          </w:p>
        </w:tc>
      </w:tr>
      <w:tr>
        <w:trPr/>
        <w:tc>
          <w:tcPr>
            <w:tcW w:w="2063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1º</w:t>
            </w:r>
          </w:p>
        </w:tc>
        <w:tc>
          <w:tcPr>
            <w:tcW w:w="6187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 Pedro Quevedo Iturbe</w:t>
            </w:r>
          </w:p>
        </w:tc>
      </w:tr>
      <w:tr>
        <w:trPr/>
        <w:tc>
          <w:tcPr>
            <w:tcW w:w="2063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2º</w:t>
            </w:r>
          </w:p>
        </w:tc>
        <w:tc>
          <w:tcPr>
            <w:tcW w:w="6187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D.ª Gemma María Martínez Soliño</w:t>
            </w:r>
          </w:p>
        </w:tc>
      </w:tr>
      <w:tr>
        <w:trPr/>
        <w:tc>
          <w:tcPr>
            <w:tcW w:w="2063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3º</w:t>
            </w:r>
          </w:p>
        </w:tc>
        <w:tc>
          <w:tcPr>
            <w:tcW w:w="6187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 Francisco Hernández Spínola</w:t>
            </w:r>
          </w:p>
        </w:tc>
      </w:tr>
      <w:tr>
        <w:trPr/>
        <w:tc>
          <w:tcPr>
            <w:tcW w:w="2063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4º</w:t>
            </w:r>
          </w:p>
        </w:tc>
        <w:tc>
          <w:tcPr>
            <w:tcW w:w="6187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D.ª Magdalena Inmaculada Medina Montenegro</w:t>
            </w:r>
          </w:p>
        </w:tc>
      </w:tr>
      <w:tr>
        <w:trPr/>
        <w:tc>
          <w:tcPr>
            <w:tcW w:w="2063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5º</w:t>
            </w:r>
          </w:p>
        </w:tc>
        <w:tc>
          <w:tcPr>
            <w:tcW w:w="6187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 Josué Íñiguez Ollero</w:t>
            </w:r>
          </w:p>
        </w:tc>
      </w:tr>
      <w:tr>
        <w:trPr/>
        <w:tc>
          <w:tcPr>
            <w:tcW w:w="2063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6º</w:t>
            </w:r>
          </w:p>
        </w:tc>
        <w:tc>
          <w:tcPr>
            <w:tcW w:w="6187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D.ª María del Carmen Vargas Palmés</w:t>
            </w:r>
          </w:p>
        </w:tc>
      </w:tr>
      <w:tr>
        <w:trPr/>
        <w:tc>
          <w:tcPr>
            <w:tcW w:w="2063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7º</w:t>
            </w:r>
          </w:p>
        </w:tc>
        <w:tc>
          <w:tcPr>
            <w:tcW w:w="6187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 Mauricio Roque González</w:t>
            </w:r>
          </w:p>
        </w:tc>
      </w:tr>
      <w:tr>
        <w:trPr/>
        <w:tc>
          <w:tcPr>
            <w:tcW w:w="2063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8º</w:t>
            </w:r>
          </w:p>
        </w:tc>
        <w:tc>
          <w:tcPr>
            <w:tcW w:w="6187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D.ª Saturnina Santana Dumpiérrez</w:t>
            </w:r>
          </w:p>
        </w:tc>
      </w:tr>
    </w:tbl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 </w:t>
      </w:r>
    </w:p>
    <w:p>
      <w:pPr>
        <w:pStyle w:val="Ttulo2"/>
        <w:shd w:fill="FFFFFF" w:val="clear"/>
        <w:spacing w:before="270" w:after="135"/>
        <w:ind w:left="720" w:hanging="0"/>
        <w:rPr>
          <w:rFonts w:ascii="inherit" w:hAnsi="inherit" w:cs="Helvetica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Helvetica" w:ascii="inherit" w:hAnsi="inherit"/>
          <w:b w:val="false"/>
          <w:bCs w:val="false"/>
          <w:color w:val="000000"/>
          <w:sz w:val="26"/>
          <w:szCs w:val="26"/>
        </w:rPr>
        <w:t>Concejales de Gobierno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/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Determinación de Áreas de Gobierno</w:t>
      </w:r>
    </w:p>
    <w:p>
      <w:pPr>
        <w:pStyle w:val="Normal1"/>
        <w:widowControl/>
        <w:numPr>
          <w:ilvl w:val="0"/>
          <w:numId w:val="5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textAlignment w:val="baseline"/>
        <w:rPr/>
      </w:pPr>
      <w:hyperlink r:id="rId3" w:tgtFrame="_blank">
        <w:r>
          <w:rPr>
            <w:rStyle w:val="Hipervnculo"/>
            <w:rFonts w:cs="Helvetica" w:ascii="inherit" w:hAnsi="inherit"/>
            <w:color w:val="00B1D1"/>
            <w:sz w:val="20"/>
            <w:szCs w:val="20"/>
          </w:rPr>
          <w:t>Dec</w:t>
        </w:r>
      </w:hyperlink>
      <w:r>
        <w:rPr>
          <w:rStyle w:val="Hipervnculo"/>
          <w:rFonts w:cs="Helvetica" w:ascii="inherit" w:hAnsi="inherit"/>
          <w:color w:val="00B1D1"/>
          <w:sz w:val="20"/>
          <w:szCs w:val="20"/>
        </w:rPr>
        <w:t>reto</w:t>
      </w:r>
      <w:r>
        <w:rPr>
          <w:rStyle w:val="Hipervnculo"/>
          <w:rFonts w:cs="Helvetica" w:ascii="inherit" w:hAnsi="inherit"/>
          <w:color w:val="00B1D1"/>
          <w:sz w:val="20"/>
          <w:szCs w:val="20"/>
        </w:rPr>
        <w:t xml:space="preserve"> 42296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2024,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de 30 de octubre,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 de la alcaldesa por el que se modifica su Decreto número 26777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>2023,  de 26 de junio, por el que se establece la estructura orgánica superior y directiva de las Áreas de Gobierno, se procede a la designación y nombramiento de los titulares de las mismas y de las Concej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 xml:space="preserve">alías 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 xml:space="preserve"> Delegadas y marco legal de funciones de estos.</w:t>
      </w:r>
    </w:p>
    <w:p>
      <w:pPr>
        <w:pStyle w:val="NormalWeb"/>
        <w:shd w:fill="FFFFFF" w:val="clear"/>
        <w:spacing w:before="0" w:after="0"/>
        <w:jc w:val="both"/>
        <w:textAlignment w:val="baseline"/>
        <w:rPr>
          <w:rStyle w:val="Hipervnculo"/>
        </w:rPr>
      </w:pPr>
      <w:hyperlink r:id="rId4" w:tgtFrame="_blank">
        <w:r>
          <w:rPr/>
        </w:r>
      </w:hyperlink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hyperlink r:id="rId5" w:tgtFrame="_blank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Certificado de acuerdo plenario de determinación del número de áreas de gobierno, denominación y prelación</w:t>
        </w:r>
      </w:hyperlink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Se estable el número de Áreas de Gobierno de este ayuntamiento en ocho (8), que se corresponderán con las siguientes denominaciones, estableciendo, entre ellas, el orden de prelación que se expresa:</w:t>
      </w:r>
    </w:p>
    <w:tbl>
      <w:tblPr>
        <w:tblW w:w="9356" w:type="dxa"/>
        <w:jc w:val="left"/>
        <w:tblInd w:w="150" w:type="dxa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8080"/>
        <w:gridCol w:w="1276"/>
      </w:tblGrid>
      <w:tr>
        <w:trPr>
          <w:tblHeader w:val="true"/>
        </w:trPr>
        <w:tc>
          <w:tcPr>
            <w:tcW w:w="9356" w:type="dxa"/>
            <w:gridSpan w:val="2"/>
            <w:tcBorders/>
            <w:shd w:fill="EDEDED" w:val="clear"/>
            <w:vAlign w:val="center"/>
          </w:tcPr>
          <w:p>
            <w:pPr>
              <w:pStyle w:val="Normal1"/>
              <w:spacing w:before="0" w:after="0"/>
              <w:textAlignment w:val="center"/>
              <w:rPr/>
            </w:pPr>
            <w:r>
              <w:rPr>
                <w:rStyle w:val="Textoennegrita"/>
                <w:rFonts w:ascii="inherit" w:hAnsi="inherit"/>
                <w:sz w:val="20"/>
                <w:szCs w:val="20"/>
              </w:rPr>
              <w:t>Áreas de Gobierno</w:t>
            </w:r>
          </w:p>
        </w:tc>
      </w:tr>
      <w:tr>
        <w:trPr>
          <w:tblHeader w:val="true"/>
        </w:trPr>
        <w:tc>
          <w:tcPr>
            <w:tcW w:w="8080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textAlignment w:val="auto"/>
              <w:rPr/>
            </w:pPr>
            <w:r>
              <w:rPr>
                <w:rStyle w:val="Bold"/>
                <w:rFonts w:ascii="inherit" w:hAnsi="inherit"/>
                <w:sz w:val="21"/>
                <w:szCs w:val="21"/>
              </w:rPr>
              <w:t>Denominación</w:t>
            </w:r>
          </w:p>
        </w:tc>
        <w:tc>
          <w:tcPr>
            <w:tcW w:w="1276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rPr/>
            </w:pPr>
            <w:r>
              <w:rPr>
                <w:rStyle w:val="Bold"/>
                <w:rFonts w:ascii="inherit" w:hAnsi="inherit"/>
                <w:sz w:val="21"/>
                <w:szCs w:val="21"/>
              </w:rPr>
              <w:t>Prelación</w:t>
            </w:r>
          </w:p>
        </w:tc>
      </w:tr>
      <w:tr>
        <w:trPr/>
        <w:tc>
          <w:tcPr>
            <w:tcW w:w="8080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Área de gobierno de Presidencia, Hacienda, Modernización y Recursos Humanos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1ª</w:t>
            </w:r>
          </w:p>
        </w:tc>
      </w:tr>
      <w:tr>
        <w:trPr/>
        <w:tc>
          <w:tcPr>
            <w:tcW w:w="8080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Área de gobierno de Desarrollo Local, Empleo, Solidaridad, Turismo, Movilidad y Ciudad de Mar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2ª</w:t>
            </w:r>
          </w:p>
        </w:tc>
      </w:tr>
      <w:tr>
        <w:trPr/>
        <w:tc>
          <w:tcPr>
            <w:tcW w:w="8080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Área de gobierno de Desarrollo Estratégico, Sostenibilidad y Energía, Parques y Jardines y  </w:t>
            </w:r>
            <w:r>
              <w:rPr>
                <w:sz w:val="21"/>
                <w:szCs w:val="21"/>
              </w:rPr>
              <w:t>Sector Primario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3ª</w:t>
            </w:r>
          </w:p>
        </w:tc>
      </w:tr>
      <w:tr>
        <w:trPr/>
        <w:tc>
          <w:tcPr>
            <w:tcW w:w="8080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Área de gobierno de Coordinación Territorial, Aguas, Carnaval y Fiestas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4ª</w:t>
            </w:r>
          </w:p>
        </w:tc>
      </w:tr>
      <w:tr>
        <w:trPr/>
        <w:tc>
          <w:tcPr>
            <w:tcW w:w="8080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Área de gobierno de Seguridad, </w:t>
            </w:r>
            <w:r>
              <w:rPr>
                <w:sz w:val="21"/>
                <w:szCs w:val="21"/>
              </w:rPr>
              <w:t xml:space="preserve">Convivencia </w:t>
            </w:r>
            <w:r>
              <w:rPr>
                <w:sz w:val="21"/>
                <w:szCs w:val="21"/>
              </w:rPr>
              <w:t xml:space="preserve"> y  </w:t>
            </w:r>
            <w:r>
              <w:rPr>
                <w:sz w:val="21"/>
                <w:szCs w:val="21"/>
              </w:rPr>
              <w:t>Cultura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5ª</w:t>
            </w:r>
          </w:p>
        </w:tc>
      </w:tr>
      <w:tr>
        <w:trPr/>
        <w:tc>
          <w:tcPr>
            <w:tcW w:w="8080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Área de gobierno de Planificación, Desarrollo Urbano y Vivienda, Limpieza, Vías y Obras y Alumbrado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6ª</w:t>
            </w:r>
          </w:p>
        </w:tc>
      </w:tr>
      <w:tr>
        <w:trPr/>
        <w:tc>
          <w:tcPr>
            <w:tcW w:w="8080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Área de gobierno de Bienestar Social, Igualdad,  </w:t>
            </w:r>
            <w:r>
              <w:rPr>
                <w:sz w:val="21"/>
                <w:szCs w:val="21"/>
              </w:rPr>
              <w:t xml:space="preserve">Cuidados </w:t>
            </w:r>
            <w:r>
              <w:rPr>
                <w:sz w:val="21"/>
                <w:szCs w:val="21"/>
              </w:rPr>
              <w:t xml:space="preserve"> y  </w:t>
            </w:r>
            <w:r>
              <w:rPr>
                <w:sz w:val="21"/>
                <w:szCs w:val="21"/>
              </w:rPr>
              <w:t>Salud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7ª</w:t>
            </w:r>
          </w:p>
        </w:tc>
      </w:tr>
      <w:tr>
        <w:trPr/>
        <w:tc>
          <w:tcPr>
            <w:tcW w:w="8080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Área de gobierno de Educación, </w:t>
            </w:r>
            <w:r>
              <w:rPr>
                <w:sz w:val="21"/>
                <w:szCs w:val="21"/>
              </w:rPr>
              <w:t xml:space="preserve">Deportes </w:t>
            </w:r>
            <w:r>
              <w:rPr>
                <w:sz w:val="21"/>
                <w:szCs w:val="21"/>
              </w:rPr>
              <w:t xml:space="preserve"> y  </w:t>
            </w:r>
            <w:r>
              <w:rPr>
                <w:sz w:val="21"/>
                <w:szCs w:val="21"/>
              </w:rPr>
              <w:t>Juventud</w:t>
            </w:r>
          </w:p>
        </w:tc>
        <w:tc>
          <w:tcPr>
            <w:tcW w:w="1276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8ª</w:t>
            </w:r>
          </w:p>
        </w:tc>
      </w:tr>
    </w:tbl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 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Nombramiento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6" w:tgtFrame="_blank">
        <w:r>
          <w:rPr>
            <w:rStyle w:val="Hipervnculo"/>
            <w:rFonts w:cs="Helvetica" w:ascii="inherit" w:hAnsi="inherit"/>
            <w:color w:val="00B1D1"/>
            <w:sz w:val="20"/>
            <w:szCs w:val="20"/>
          </w:rPr>
          <w:t>Dec</w:t>
        </w:r>
      </w:hyperlink>
      <w:r>
        <w:rPr>
          <w:rStyle w:val="Hipervnculo"/>
          <w:rFonts w:cs="Helvetica" w:ascii="inherit" w:hAnsi="inherit"/>
          <w:color w:val="00B1D1"/>
          <w:sz w:val="20"/>
          <w:szCs w:val="20"/>
        </w:rPr>
        <w:t>reto</w:t>
      </w:r>
      <w:r>
        <w:rPr>
          <w:rStyle w:val="Hipervnculo"/>
          <w:rFonts w:cs="Helvetica" w:ascii="inherit" w:hAnsi="inherit"/>
          <w:color w:val="00B1D1"/>
          <w:sz w:val="20"/>
          <w:szCs w:val="20"/>
        </w:rPr>
        <w:t xml:space="preserve"> 42296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2024,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de 30 de octubre,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 de la alcaldesa por el que se modifica su Decreto número 26777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>2023,  de 26 de junio, por el que se establece la estructura orgánica superior y directiva de las Áreas de Gobierno, se procede a la designación y nombramiento de los titulares de las mismas y de las Concej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 xml:space="preserve">alías 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 xml:space="preserve"> Delegadas y marco legal de funciones de estos.</w:t>
      </w:r>
    </w:p>
    <w:p>
      <w:pPr>
        <w:pStyle w:val="Normal1"/>
        <w:widowControl/>
        <w:numPr>
          <w:ilvl w:val="0"/>
          <w:numId w:val="3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hanging="0"/>
        <w:jc w:val="left"/>
        <w:rPr/>
      </w:pPr>
      <w:hyperlink r:id="rId7" w:tgtFrame="_blank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 de la alcaldesa por el que se modifica su decreto 26777/2023, de 26 de junio, por el que se establece la estructura orgánica superior y directiva de las Áreas de Gobierno, se procede a la designación y nombramiento de los titulares de las mismas y de las Concejalías Delegadas y marco legal de funciones de estos</w:t>
        </w:r>
      </w:hyperlink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El nombramiento de los Concejales de </w:t>
      </w:r>
      <w:r>
        <w:rPr>
          <w:rFonts w:cs="Helvetica" w:ascii="Helvetica" w:hAnsi="Helvetica"/>
          <w:color w:val="333333"/>
          <w:sz w:val="20"/>
          <w:szCs w:val="20"/>
        </w:rPr>
        <w:t>Á</w:t>
      </w:r>
      <w:r>
        <w:rPr>
          <w:rFonts w:cs="Helvetica" w:ascii="Helvetica" w:hAnsi="Helvetica"/>
          <w:color w:val="333333"/>
          <w:sz w:val="20"/>
          <w:szCs w:val="20"/>
        </w:rPr>
        <w:t>rea de Gobierno queda de la siguiente forma: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tbl>
      <w:tblPr>
        <w:tblW w:w="9923" w:type="dxa"/>
        <w:jc w:val="left"/>
        <w:tblInd w:w="150" w:type="dxa"/>
        <w:tblCellMar>
          <w:top w:w="105" w:type="dxa"/>
          <w:left w:w="150" w:type="dxa"/>
          <w:bottom w:w="105" w:type="dxa"/>
          <w:right w:w="150" w:type="dxa"/>
        </w:tblCellMar>
      </w:tblPr>
      <w:tblGrid>
        <w:gridCol w:w="5529"/>
        <w:gridCol w:w="4394"/>
      </w:tblGrid>
      <w:tr>
        <w:trPr>
          <w:tblHeader w:val="true"/>
        </w:trPr>
        <w:tc>
          <w:tcPr>
            <w:tcW w:w="5529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rPr/>
            </w:pPr>
            <w:r>
              <w:rPr>
                <w:rStyle w:val="Bold"/>
                <w:rFonts w:ascii="inherit" w:hAnsi="inherit"/>
                <w:sz w:val="21"/>
                <w:szCs w:val="21"/>
              </w:rPr>
              <w:t>Área de Gobierno</w:t>
            </w:r>
          </w:p>
        </w:tc>
        <w:tc>
          <w:tcPr>
            <w:tcW w:w="4394" w:type="dxa"/>
            <w:tcBorders>
              <w:bottom w:val="single" w:sz="12" w:space="0" w:color="DDDDDD"/>
            </w:tcBorders>
            <w:shd w:fill="EDEDED" w:val="clear"/>
            <w:vAlign w:val="center"/>
          </w:tcPr>
          <w:p>
            <w:pPr>
              <w:pStyle w:val="Normal1"/>
              <w:spacing w:before="0" w:after="0"/>
              <w:rPr/>
            </w:pPr>
            <w:r>
              <w:rPr>
                <w:rStyle w:val="Bold"/>
                <w:rFonts w:ascii="inherit" w:hAnsi="inherit"/>
                <w:sz w:val="21"/>
                <w:szCs w:val="21"/>
              </w:rPr>
              <w:t>Nombre y Apellidos</w:t>
            </w:r>
          </w:p>
        </w:tc>
      </w:tr>
      <w:tr>
        <w:trPr/>
        <w:tc>
          <w:tcPr>
            <w:tcW w:w="5529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Presidencia, Hacienda, Modernización y Recursos Humanos</w:t>
            </w:r>
          </w:p>
        </w:tc>
        <w:tc>
          <w:tcPr>
            <w:tcW w:w="4394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 Francisco Hernández Spínola</w:t>
            </w:r>
          </w:p>
        </w:tc>
      </w:tr>
      <w:tr>
        <w:trPr/>
        <w:tc>
          <w:tcPr>
            <w:tcW w:w="5529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Desarrollo Local, Empleo, Solidaridad, Turismo, Movilidad y Ciudad de Mar</w:t>
            </w:r>
          </w:p>
        </w:tc>
        <w:tc>
          <w:tcPr>
            <w:tcW w:w="4394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 Pedro Quevedo Iturbe</w:t>
            </w:r>
          </w:p>
        </w:tc>
      </w:tr>
      <w:tr>
        <w:trPr/>
        <w:tc>
          <w:tcPr>
            <w:tcW w:w="5529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Desarrollo Estratégico, Sostenibilidad y Energía, </w:t>
            </w:r>
            <w:r>
              <w:rPr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 xml:space="preserve">arques y Jardines y  </w:t>
            </w:r>
            <w:r>
              <w:rPr>
                <w:sz w:val="21"/>
                <w:szCs w:val="21"/>
              </w:rPr>
              <w:t>Sector Primario</w:t>
            </w:r>
          </w:p>
        </w:tc>
        <w:tc>
          <w:tcPr>
            <w:tcW w:w="4394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D.ª Gemma María Martínez Soliño</w:t>
            </w:r>
          </w:p>
        </w:tc>
      </w:tr>
      <w:tr>
        <w:trPr/>
        <w:tc>
          <w:tcPr>
            <w:tcW w:w="5529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Coordinación Territorial, Aguas, Carnaval y Fiestas</w:t>
            </w:r>
          </w:p>
        </w:tc>
        <w:tc>
          <w:tcPr>
            <w:tcW w:w="4394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D.ª Magdalena Inmaculada Medina Montenegro</w:t>
            </w:r>
          </w:p>
        </w:tc>
      </w:tr>
      <w:tr>
        <w:trPr/>
        <w:tc>
          <w:tcPr>
            <w:tcW w:w="5529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Seguridad, </w:t>
            </w:r>
            <w:r>
              <w:rPr>
                <w:sz w:val="21"/>
                <w:szCs w:val="21"/>
              </w:rPr>
              <w:t xml:space="preserve">Convivencia </w:t>
            </w:r>
            <w:r>
              <w:rPr>
                <w:sz w:val="21"/>
                <w:szCs w:val="21"/>
              </w:rPr>
              <w:t xml:space="preserve">y </w:t>
            </w:r>
            <w:r>
              <w:rPr>
                <w:sz w:val="21"/>
                <w:szCs w:val="21"/>
              </w:rPr>
              <w:t>Cultura</w:t>
            </w:r>
          </w:p>
        </w:tc>
        <w:tc>
          <w:tcPr>
            <w:tcW w:w="4394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 Josué Íñiguez Ollero</w:t>
            </w:r>
          </w:p>
        </w:tc>
      </w:tr>
      <w:tr>
        <w:trPr/>
        <w:tc>
          <w:tcPr>
            <w:tcW w:w="5529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Planificación, Desarrollo Urbano y Vivienda, Limpieza, Vías y Obras y Alumbrado</w:t>
            </w:r>
          </w:p>
        </w:tc>
        <w:tc>
          <w:tcPr>
            <w:tcW w:w="4394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 Mauricio Roque González</w:t>
            </w:r>
          </w:p>
        </w:tc>
      </w:tr>
      <w:tr>
        <w:trPr/>
        <w:tc>
          <w:tcPr>
            <w:tcW w:w="5529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Bienestar Social, Igualdad,  </w:t>
            </w:r>
            <w:r>
              <w:rPr>
                <w:sz w:val="21"/>
                <w:szCs w:val="21"/>
              </w:rPr>
              <w:t>Cuidados y Salud</w:t>
            </w:r>
          </w:p>
        </w:tc>
        <w:tc>
          <w:tcPr>
            <w:tcW w:w="4394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D.ª María del Carmen Vargas Palmés</w:t>
            </w:r>
          </w:p>
        </w:tc>
      </w:tr>
      <w:tr>
        <w:trPr/>
        <w:tc>
          <w:tcPr>
            <w:tcW w:w="5529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Educación, </w:t>
            </w:r>
            <w:r>
              <w:rPr>
                <w:sz w:val="21"/>
                <w:szCs w:val="21"/>
              </w:rPr>
              <w:t xml:space="preserve">Deportes y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Juventud</w:t>
            </w:r>
          </w:p>
        </w:tc>
        <w:tc>
          <w:tcPr>
            <w:tcW w:w="4394" w:type="dxa"/>
            <w:tcBorders>
              <w:top w:val="single" w:sz="6" w:space="0" w:color="DDDDDD"/>
            </w:tcBorders>
            <w:vAlign w:val="center"/>
          </w:tcPr>
          <w:p>
            <w:pPr>
              <w:pStyle w:val="Normal1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D.ª Saturnina Santana Dumpiérrez</w:t>
            </w:r>
          </w:p>
        </w:tc>
      </w:tr>
    </w:tbl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 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Funciones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Corresponden a los concejales de gobierno, en el ámbito de sus respectivas áreas, las funciones previstas por los artículos 40 de la Ley 7/2015, de 1 de abril, de los Municipios de Canarias, que no se opongan a las atribuidas a la Junta de Gobierno de la Ciudad por el artículo 127 de la LRBRL, y 41 del ROGA, así como las atribuidas por delegación del alcalde o de la Junta de Gobierno de la Ciudad de Las Palmas de Gran Canaria (artículos 124.5 y 127.2, de la LRBRL).</w:t>
      </w:r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 </w:t>
      </w:r>
    </w:p>
    <w:p>
      <w:pPr>
        <w:pStyle w:val="Ttulo2"/>
        <w:shd w:fill="FFFFFF" w:val="clear"/>
        <w:spacing w:before="270" w:after="135"/>
        <w:ind w:left="360" w:hanging="0"/>
        <w:rPr>
          <w:rFonts w:ascii="Helvetica" w:hAnsi="Helvetica" w:cs="Helvetica"/>
          <w:b w:val="false"/>
          <w:b w:val="false"/>
          <w:bCs w:val="false"/>
          <w:color w:val="000000"/>
          <w:sz w:val="26"/>
          <w:szCs w:val="26"/>
        </w:rPr>
      </w:pPr>
      <w:r>
        <w:rPr>
          <w:rFonts w:cs="Helvetica" w:ascii="Helvetica" w:hAnsi="Helvetica"/>
          <w:b w:val="false"/>
          <w:bCs w:val="false"/>
          <w:color w:val="000000"/>
          <w:sz w:val="26"/>
          <w:szCs w:val="26"/>
        </w:rPr>
        <w:t>Estructura de las Áreas de Gobierno</w:t>
      </w:r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right="0" w:hanging="0"/>
        <w:jc w:val="left"/>
        <w:rPr/>
      </w:pPr>
      <w:hyperlink r:id="rId8" w:tgtFrame="_blank">
        <w:r>
          <w:rPr>
            <w:rStyle w:val="Hipervnculo"/>
            <w:rFonts w:cs="Helvetica" w:ascii="inherit" w:hAnsi="inherit"/>
            <w:color w:val="00B1D1"/>
            <w:sz w:val="20"/>
            <w:szCs w:val="20"/>
          </w:rPr>
          <w:t>Dec</w:t>
        </w:r>
      </w:hyperlink>
      <w:r>
        <w:rPr>
          <w:rStyle w:val="Hipervnculo"/>
          <w:rFonts w:cs="Helvetica" w:ascii="inherit" w:hAnsi="inherit"/>
          <w:color w:val="00B1D1"/>
          <w:sz w:val="20"/>
          <w:szCs w:val="20"/>
        </w:rPr>
        <w:t>reto</w:t>
      </w:r>
      <w:r>
        <w:rPr>
          <w:rStyle w:val="Hipervnculo"/>
          <w:rFonts w:cs="Helvetica" w:ascii="inherit" w:hAnsi="inherit"/>
          <w:color w:val="00B1D1"/>
          <w:sz w:val="20"/>
          <w:szCs w:val="20"/>
        </w:rPr>
        <w:t xml:space="preserve"> 42296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2024,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de 30 de octubre, </w:t>
      </w:r>
      <w:r>
        <w:rPr>
          <w:rStyle w:val="Hipervnculo"/>
          <w:rFonts w:cs="Helvetica" w:ascii="inherit" w:hAnsi="inherit"/>
          <w:i/>
          <w:iCs/>
          <w:color w:val="00B1D1"/>
          <w:sz w:val="20"/>
          <w:szCs w:val="20"/>
        </w:rPr>
        <w:t xml:space="preserve"> de la alcaldesa por el que se modifica su Decreto número 26777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>2023,  de 26 de junio, por el que se establece la estructura orgánica superior y directiva de las Áreas de Gobierno, se procede a la designación y nombramiento de los titulares de las mismas y de las Concej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 xml:space="preserve">alías </w:t>
      </w:r>
      <w:r>
        <w:rPr>
          <w:rStyle w:val="Hipervnculo"/>
          <w:rFonts w:cs="Helvetica" w:ascii="inherit" w:hAnsi="inherit"/>
          <w:i w:val="false"/>
          <w:iCs w:val="false"/>
          <w:color w:val="00B1D1"/>
          <w:sz w:val="20"/>
          <w:szCs w:val="20"/>
        </w:rPr>
        <w:t xml:space="preserve"> Delegadas y marco legal de funciones de estos.</w:t>
      </w:r>
    </w:p>
    <w:p>
      <w:pPr>
        <w:pStyle w:val="Normal1"/>
        <w:widowControl/>
        <w:numPr>
          <w:ilvl w:val="0"/>
          <w:numId w:val="4"/>
        </w:numPr>
        <w:shd w:fill="FFFFFF" w:val="clear"/>
        <w:tabs>
          <w:tab w:val="clear" w:pos="737"/>
          <w:tab w:val="left" w:pos="720" w:leader="none"/>
        </w:tabs>
        <w:suppressAutoHyphens w:val="false"/>
        <w:spacing w:before="0" w:after="0"/>
        <w:ind w:left="870" w:hanging="0"/>
        <w:jc w:val="left"/>
        <w:rPr/>
      </w:pPr>
      <w:hyperlink r:id="rId9" w:tgtFrame="_blank">
        <w:r>
          <w:rPr>
            <w:rStyle w:val="EnlacedeInternet"/>
            <w:rFonts w:cs="Helvetica" w:ascii="inherit" w:hAnsi="inherit"/>
            <w:color w:val="00B1D1"/>
            <w:sz w:val="20"/>
            <w:szCs w:val="20"/>
          </w:rPr>
          <w:t>Decreto de la alcaldesa por el que se modifica su decreto 26777/2023, de 26 de junio, por el que se establece la estructura orgánica superior y directiva de las Áreas de Gobierno, se procede a la designación y nombramiento de los titulares de las mismas y de las Concejalías Delegadas y marco legal de funciones de estos</w:t>
        </w:r>
      </w:hyperlink>
    </w:p>
    <w:p>
      <w:pPr>
        <w:pStyle w:val="NormalWeb"/>
        <w:shd w:fill="FFFFFF" w:val="clear"/>
        <w:spacing w:before="0" w:after="135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La estructura orgánica de las Áreas de Gobierno queda determinada según se relacionan a continuación, por su orden de prelación:</w:t>
      </w:r>
    </w:p>
    <w:p>
      <w:pPr>
        <w:pStyle w:val="NormalWeb"/>
        <w:shd w:fill="FFFFFF" w:val="clear"/>
        <w:spacing w:before="0" w:after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1.ª ÁREA DE GOBIERNO DE PRESIDENCIA, HACIENDA, MODERNIZACIÓN Y RECURSOS HUMANOS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1. Órganos superiores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 Concejal/a de gobierno del Área de Presidencia, Hacienda, Modernización y Recursos Humanos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1.1.1 Concejal/a delegado/a del Área de Recursos Humanos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2. Órganos directivos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2.1. Secretario/a general técnico de la Junta de Gobierno de la Ciudad de Las Palmas de Gran Canaria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2.2. Director/a general titular de la Asesoría Jurídica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2.3. Coordinador/a general de Hacienda, Contratación y Patrimonio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2.3.1. Intervención General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2.3.2. Órgano de Gestión Económico-Financiera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2.3.3. Órgano de Gestión Tributaria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2.3.4. Órgano de Presupuestación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2.3.5. Director/a general de Contratación y Patrimonio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2.4. Coordinador/a general de Modernización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2.4.1. Director/a general de Innovación Tecnológica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2.4.2. Director/a general de Gobernanza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2.5. Director/ general de Recursos Humanos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2.ª ÁREA DE GOBIERNO DE DESARROLLO LOCAL, EMPLEO, SOLIDARIDAD, TURISMO, MOVILIDAD Y CIUDAD DE MAR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1. Órganos superiores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 Concejal/a de gobierno del Área de Desarrollo Local, Empleo, Solidaridad, Turismo, Movilidad y Ciudad de Mar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1.1.1. Concejal/a delegado/a del Área de Movilidad y Empleo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2. Órganos directivos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2.1. Director/a general de Movilidad Sostenible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 xml:space="preserve">3.ª ÁREA DE GOBIERNO DE DESARROLLO ESTRATÉGICO, SOSTENIBILIDAD Y ENERGÍA,  PARQUES Y JARDINES Y 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>SECTOR PRIMARIO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1. Órganos superiores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1.1. Concejal/a de gobierno del Área de Desarrollo Estratégico, Sostenibilidad y Energía, Parques y Jardines y </w:t>
      </w:r>
      <w:r>
        <w:rPr>
          <w:rFonts w:cs="Helvetica" w:ascii="Helvetica" w:hAnsi="Helvetica"/>
          <w:color w:val="333333"/>
          <w:sz w:val="20"/>
          <w:szCs w:val="20"/>
        </w:rPr>
        <w:t>Sector Primario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2. Órganos directivos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2.1. Director/a general de Desarrollo Estratégico, Sostenibilidad y Energía, Parques y Jardines y </w:t>
      </w:r>
      <w:r>
        <w:rPr>
          <w:rFonts w:cs="Helvetica" w:ascii="Helvetica" w:hAnsi="Helvetica"/>
          <w:color w:val="333333"/>
          <w:sz w:val="20"/>
          <w:szCs w:val="20"/>
        </w:rPr>
        <w:t>Sector Primario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4.ª ÁREA DE GOBIERNO DE COORDINACIÓN TERRITORIAL, AGUAS, CARNAVAL Y FIESTAS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1. Órganos superiores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 Concejal/a de gobierno del Área de Coordinación Territorial, Aguas, Carnaval y Fiestas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1.1.1. Concejal/a delegado/a de Distrito Vegueta, Cono Sur y Tafira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1.1.2. Concejal/a delegado/a de Distrito Centro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1.1.3. Concejal/a delegado/a de Distrito Isleta-Puerto-Guanarteme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1.1.4. Concejal/a delegado/a de Distrito Ciudad Alta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1.1.5. Concejal/a delegado/a de Distrito Tamaraceite-San Lorenzo-Tenoya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2. Órganos directivos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2.1. Director/a general de Aguas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 xml:space="preserve">5.ª ÁREA DE GOBIERNO DE SEGURIDAD, 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>CONVIVENCIA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 xml:space="preserve"> Y 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>CULTURA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1. Órganos superiores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1.1. Concejal/a de gobierno del Área de Seguridad, </w:t>
      </w:r>
      <w:r>
        <w:rPr>
          <w:rFonts w:cs="Helvetica" w:ascii="Helvetica" w:hAnsi="Helvetica"/>
          <w:color w:val="333333"/>
          <w:sz w:val="20"/>
          <w:szCs w:val="20"/>
        </w:rPr>
        <w:t xml:space="preserve">Convivencia </w:t>
      </w:r>
      <w:r>
        <w:rPr>
          <w:rFonts w:cs="Helvetica" w:ascii="Helvetica" w:hAnsi="Helvetica"/>
          <w:color w:val="333333"/>
          <w:sz w:val="20"/>
          <w:szCs w:val="20"/>
        </w:rPr>
        <w:t xml:space="preserve"> y  </w:t>
      </w:r>
      <w:r>
        <w:rPr>
          <w:rFonts w:cs="Helvetica" w:ascii="Helvetica" w:hAnsi="Helvetica"/>
          <w:color w:val="333333"/>
          <w:sz w:val="20"/>
          <w:szCs w:val="20"/>
        </w:rPr>
        <w:t>Cultura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2. Órganos directivos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2.1. Director/a general de Seguridad y Emergencias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6.ª ÁREA DE GOBIERNO DE PLANIFICACIÓN, DESARROLLO URBANO Y VIVIENDA, LIMPIEZA, VÍAS Y OBRAS Y ALUMBRADO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1. Órganos superiores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 Concejal/a de gobierno del Área de Planificación, Desarrollo Urbano y Vivienda, Limpieza, Vías y Obras y Alumbrado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1.1.1. Concejal/a delegado/a del Área de Limpieza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1.1.2. Concejal/a delegado/a del Área de Vías y Obras y Alumbrado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2. Órganos directivos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2.1. Coordinador/a general de Planificación, Desarrollo Urbano y Vivienda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2.1.1. Director/a general de Urbanismo y Vivienda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2.1.2. Director/a general de Edificación y Actividades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2.2. Gerente del Órgano Especial de Administración del Servicio Municipal de Limpieza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 xml:space="preserve">7.ª ÁREA DE GOBIERNO DE BIENESTAR SOCIAL, IGUALDAD, 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 xml:space="preserve">CUIDADOS 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 xml:space="preserve"> Y 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>SALUD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1. Órganos superiores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1.1. Concejal/a de gobierno del Área de Bienestar Social, Igualdad, </w:t>
      </w:r>
      <w:r>
        <w:rPr>
          <w:rFonts w:cs="Helvetica" w:ascii="Helvetica" w:hAnsi="Helvetica"/>
          <w:color w:val="333333"/>
          <w:sz w:val="20"/>
          <w:szCs w:val="20"/>
        </w:rPr>
        <w:t>Cuidados y Salud</w:t>
      </w:r>
      <w:r>
        <w:rPr>
          <w:rFonts w:cs="Helvetica" w:ascii="Helvetica" w:hAnsi="Helvetica"/>
          <w:color w:val="333333"/>
          <w:sz w:val="20"/>
          <w:szCs w:val="20"/>
        </w:rPr>
        <w:t xml:space="preserve"> 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2211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1.1.1. Concejal/a delegado/a del Área de </w:t>
      </w:r>
      <w:r>
        <w:rPr>
          <w:rFonts w:cs="Helvetica" w:ascii="Helvetica" w:hAnsi="Helvetica"/>
          <w:color w:val="333333"/>
          <w:sz w:val="20"/>
          <w:szCs w:val="20"/>
        </w:rPr>
        <w:t xml:space="preserve">Igualdad, Diversidad </w:t>
      </w:r>
      <w:r>
        <w:rPr>
          <w:rFonts w:cs="Helvetica" w:ascii="Helvetica" w:hAnsi="Helvetica"/>
          <w:color w:val="333333"/>
          <w:sz w:val="20"/>
          <w:szCs w:val="20"/>
        </w:rPr>
        <w:t xml:space="preserve"> y Participación Ciudadana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2. Órganos directivos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2.1. Director/a general de Servicios Sociales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>2.2. Director/a general de Igualdad y Diversidad</w:t>
      </w:r>
    </w:p>
    <w:p>
      <w:pPr>
        <w:pStyle w:val="NormalWeb"/>
        <w:shd w:fill="FFFFFF" w:val="clear"/>
        <w:spacing w:before="0" w:after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 xml:space="preserve">8.ª ÁREA DE GOBIERNO DE EDUCACIÓN, 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>DEPORTES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 xml:space="preserve"> Y </w:t>
      </w:r>
      <w:r>
        <w:rPr>
          <w:rStyle w:val="Textoennegrita"/>
          <w:rFonts w:cs="Helvetica" w:ascii="inherit" w:hAnsi="inherit"/>
          <w:color w:val="333333"/>
          <w:sz w:val="20"/>
          <w:szCs w:val="20"/>
        </w:rPr>
        <w:t>JUVENTUD</w:t>
      </w:r>
    </w:p>
    <w:p>
      <w:pPr>
        <w:pStyle w:val="NormalWeb"/>
        <w:shd w:fill="FFFFFF" w:val="clear"/>
        <w:tabs>
          <w:tab w:val="clear" w:pos="737"/>
        </w:tabs>
        <w:spacing w:before="0" w:after="0"/>
        <w:ind w:left="737" w:hanging="0"/>
        <w:jc w:val="both"/>
        <w:textAlignment w:val="baseline"/>
        <w:rPr/>
      </w:pPr>
      <w:r>
        <w:rPr>
          <w:rStyle w:val="Textoennegrita"/>
          <w:rFonts w:cs="Helvetica" w:ascii="inherit" w:hAnsi="inherit"/>
          <w:color w:val="333333"/>
          <w:sz w:val="20"/>
          <w:szCs w:val="20"/>
        </w:rPr>
        <w:t>1. Órganos superiores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1.1. Concejal/a de gobierno del Área Educación, </w:t>
      </w:r>
      <w:r>
        <w:rPr>
          <w:rFonts w:cs="Helvetica" w:ascii="Helvetica" w:hAnsi="Helvetica"/>
          <w:color w:val="333333"/>
          <w:sz w:val="20"/>
          <w:szCs w:val="20"/>
        </w:rPr>
        <w:t>Deportes</w:t>
      </w:r>
      <w:r>
        <w:rPr>
          <w:rFonts w:cs="Helvetica" w:ascii="Helvetica" w:hAnsi="Helvetica"/>
          <w:color w:val="333333"/>
          <w:sz w:val="20"/>
          <w:szCs w:val="20"/>
        </w:rPr>
        <w:t xml:space="preserve"> y </w:t>
      </w:r>
      <w:r>
        <w:rPr>
          <w:rFonts w:cs="Helvetica" w:ascii="Helvetica" w:hAnsi="Helvetica"/>
          <w:color w:val="333333"/>
          <w:sz w:val="20"/>
          <w:szCs w:val="20"/>
        </w:rPr>
        <w:t>Juventud</w:t>
      </w:r>
    </w:p>
    <w:p>
      <w:pPr>
        <w:pStyle w:val="NormalWeb"/>
        <w:shd w:fill="FFFFFF" w:val="clear"/>
        <w:tabs>
          <w:tab w:val="clear" w:pos="737"/>
        </w:tabs>
        <w:spacing w:before="0" w:after="135"/>
        <w:ind w:left="1474" w:hanging="0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>
        <w:rPr>
          <w:rFonts w:cs="Helvetica" w:ascii="Helvetica" w:hAnsi="Helvetica"/>
          <w:color w:val="333333"/>
          <w:sz w:val="20"/>
          <w:szCs w:val="20"/>
        </w:rPr>
        <w:t xml:space="preserve">1.2. Concejal/a delegado/a del Área de </w:t>
      </w:r>
      <w:r>
        <w:rPr>
          <w:rFonts w:cs="Helvetica" w:ascii="Helvetica" w:hAnsi="Helvetica"/>
          <w:color w:val="333333"/>
          <w:sz w:val="20"/>
          <w:szCs w:val="20"/>
        </w:rPr>
        <w:t>Deportes y Juventud</w:t>
      </w:r>
    </w:p>
    <w:p>
      <w:pPr>
        <w:pStyle w:val="Normal1"/>
        <w:widowControl/>
        <w:shd w:fill="FFFFFF" w:val="clear"/>
        <w:suppressAutoHyphens w:val="false"/>
        <w:spacing w:lineRule="atLeast" w:line="300" w:before="0" w:after="135"/>
        <w:rPr>
          <w:rFonts w:ascii="Helvetica" w:hAnsi="Helvetica" w:eastAsia="Times New Roman" w:cs="Helvetica"/>
          <w:color w:val="333333"/>
          <w:kern w:val="0"/>
          <w:sz w:val="20"/>
          <w:szCs w:val="20"/>
          <w:lang w:eastAsia="es-ES" w:bidi="ar-SA"/>
        </w:rPr>
      </w:pPr>
      <w:r>
        <w:rPr>
          <w:rFonts w:eastAsia="Times New Roman" w:cs="Helvetica" w:ascii="Helvetica" w:hAnsi="Helvetica"/>
          <w:color w:val="333333"/>
          <w:kern w:val="0"/>
          <w:sz w:val="20"/>
          <w:szCs w:val="20"/>
          <w:lang w:eastAsia="es-ES" w:bidi="ar-SA"/>
        </w:rPr>
      </w:r>
    </w:p>
    <w:sectPr>
      <w:headerReference w:type="default" r:id="rId10"/>
      <w:footerReference w:type="default" r:id="rId11"/>
      <w:type w:val="nextPage"/>
      <w:pgSz w:w="11906" w:h="16838"/>
      <w:pgMar w:left="1134" w:right="1133" w:header="1417" w:top="2410" w:footer="624" w:bottom="1815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 Light">
    <w:charset w:val="00"/>
    <w:family w:val="swiss"/>
    <w:pitch w:val="variable"/>
  </w:font>
  <w:font w:name="Segoe UI">
    <w:charset w:val="00"/>
    <w:family w:val="swiss"/>
    <w:pitch w:val="variable"/>
  </w:font>
  <w:font w:name="Courier New">
    <w:charset w:val="00"/>
    <w:family w:val="modern"/>
    <w:pitch w:val="fixed"/>
  </w:font>
  <w:font w:name="Wingdings">
    <w:charset w:val="02"/>
    <w:family w:val="auto"/>
    <w:pitch w:val="variable"/>
  </w:font>
  <w:font w:name="Calibri"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inherit">
    <w:charset w:val="00"/>
    <w:family w:val="roman"/>
    <w:pitch w:val="default"/>
  </w:font>
  <w:font w:name="Humnst777 BT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p>
    <w:pPr>
      <w:pStyle w:val="Piedepgina"/>
      <w:rPr>
        <w:rFonts w:ascii="Calibri" w:hAnsi="Calibri" w:cs="Calibri"/>
        <w:sz w:val="16"/>
        <w:szCs w:val="16"/>
      </w:rPr>
    </w:pPr>
    <w:r>
      <w:rPr>
        <w:rFonts w:cs="Calibri" w:ascii="Calibri" w:hAnsi="Calibri"/>
        <w:sz w:val="16"/>
        <w:szCs w:val="16"/>
      </w:rPr>
    </w:r>
  </w:p>
  <w:tbl>
    <w:tblPr>
      <w:tblW w:w="9412" w:type="dxa"/>
      <w:jc w:val="left"/>
      <w:tblInd w:w="0" w:type="dxa"/>
      <w:tblCellMar>
        <w:top w:w="0" w:type="dxa"/>
        <w:left w:w="0" w:type="dxa"/>
        <w:bottom w:w="0" w:type="dxa"/>
        <w:right w:w="0" w:type="dxa"/>
      </w:tblCellMar>
    </w:tblPr>
    <w:tblGrid>
      <w:gridCol w:w="7932"/>
      <w:gridCol w:w="1480"/>
    </w:tblGrid>
    <w:tr>
      <w:trPr/>
      <w:tc>
        <w:tcPr>
          <w:tcW w:w="7932" w:type="dxa"/>
          <w:tcBorders>
            <w:top w:val="single" w:sz="4" w:space="0" w:color="000000"/>
          </w:tcBorders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>
          <w:pPr>
            <w:pStyle w:val="Piedepgina"/>
            <w:jc w:val="right"/>
            <w:rPr/>
          </w:pP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Página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PAGE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2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t xml:space="preserve"> de </w:t>
          </w:r>
          <w:r>
            <w:rPr>
              <w:rStyle w:val="Fuentedeprrafopredeter"/>
              <w:rFonts w:cs="Calibri" w:ascii="Calibri" w:hAnsi="Calibri"/>
              <w:sz w:val="16"/>
              <w:szCs w:val="16"/>
            </w:rPr>
            <w:fldChar w:fldCharType="begin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instrText> NUMPAGES </w:instrTex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separate"/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t>5</w:t>
          </w:r>
          <w:r>
            <w:rPr>
              <w:rStyle w:val="Fuentedeprrafopredeter"/>
              <w:sz w:val="16"/>
              <w:szCs w:val="16"/>
              <w:rFonts w:cs="Calibri" w:ascii="Calibri" w:hAnsi="Calibri"/>
            </w:rPr>
            <w:fldChar w:fldCharType="end"/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Teléfono 928 446 374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  <w:tr>
      <w:trPr/>
      <w:tc>
        <w:tcPr>
          <w:tcW w:w="7932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tcBorders/>
        </w:tcPr>
        <w:p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cs="Calibri" w:ascii="Calibri" w:hAnsi="Calibri"/>
              <w:sz w:val="16"/>
              <w:szCs w:val="16"/>
            </w:rPr>
          </w:r>
        </w:p>
      </w:tc>
    </w:tr>
  </w:tbl>
  <w:p>
    <w:pPr>
      <w:pStyle w:val="Piedepgina"/>
      <w:rPr>
        <w:rFonts w:ascii="Calibri" w:hAnsi="Calibri" w:cs="Calibri"/>
        <w:sz w:val="12"/>
        <w:szCs w:val="12"/>
      </w:rPr>
    </w:pPr>
    <w:r>
      <w:rPr>
        <w:rFonts w:cs="Calibri" w:ascii="Calibri" w:hAnsi="Calibri"/>
        <w:sz w:val="12"/>
        <w:szCs w:val="1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tabs>
        <w:tab w:val="clear" w:pos="737"/>
        <w:tab w:val="right" w:pos="10573" w:leader="none"/>
      </w:tabs>
      <w:rPr>
        <w:rStyle w:val="Fuentedeprrafopredeter"/>
        <w:rFonts w:ascii="Humnst777 BT" w:hAnsi="Humnst777 BT"/>
        <w:color w:val="009933"/>
        <w:sz w:val="14"/>
        <w:szCs w:val="14"/>
      </w:rPr>
    </w:pPr>
    <w:r>
      <w:rPr/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  <w:p>
    <w:pPr>
      <w:pStyle w:val="Normal"/>
      <w:widowControl/>
      <w:tabs>
        <w:tab w:val="clear" w:pos="737"/>
        <w:tab w:val="right" w:pos="10573" w:leader="none"/>
      </w:tabs>
      <w:rPr>
        <w:rFonts w:ascii="Humnst777 BT" w:hAnsi="Humnst777 BT"/>
        <w:color w:val="003399"/>
        <w:sz w:val="14"/>
        <w:szCs w:val="14"/>
      </w:rPr>
    </w:pPr>
    <w:r>
      <w:rPr>
        <w:rFonts w:ascii="Humnst777 BT" w:hAnsi="Humnst777 BT"/>
        <w:color w:val="003399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tulo2"/>
      <w:numFmt w:val="decimal"/>
      <w:lvlText w:val="%2ª.- "/>
      <w:lvlJc w:val="left"/>
      <w:pPr>
        <w:tabs>
          <w:tab w:val="num" w:pos="0"/>
        </w:tabs>
        <w:ind w:left="720" w:hanging="36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37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s-ES" w:eastAsia="zh-CN" w:bidi="hi-IN"/>
    </w:rPr>
  </w:style>
  <w:style w:type="paragraph" w:styleId="Ttulo1">
    <w:name w:val="Heading 1"/>
    <w:basedOn w:val="Normal1"/>
    <w:next w:val="Cuerpodetexto"/>
    <w:qFormat/>
    <w:pPr>
      <w:numPr>
        <w:ilvl w:val="0"/>
        <w:numId w:val="1"/>
      </w:numPr>
      <w:suppressAutoHyphens w:val="true"/>
      <w:spacing w:before="0"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Cuerpodetexto"/>
    <w:qFormat/>
    <w:pPr>
      <w:numPr>
        <w:ilvl w:val="1"/>
        <w:numId w:val="1"/>
      </w:numPr>
      <w:suppressAutoHyphens w:val="true"/>
      <w:outlineLvl w:val="1"/>
    </w:pPr>
    <w:rPr>
      <w:b/>
      <w:bCs/>
    </w:rPr>
  </w:style>
  <w:style w:type="paragraph" w:styleId="Ttulo3">
    <w:name w:val="Heading 3"/>
    <w:basedOn w:val="Ttulo"/>
    <w:next w:val="Cuerpodetexto"/>
    <w:qFormat/>
    <w:pPr>
      <w:numPr>
        <w:ilvl w:val="2"/>
        <w:numId w:val="1"/>
      </w:numPr>
      <w:suppressAutoHyphens w:val="true"/>
      <w:spacing w:before="140" w:after="0"/>
      <w:outlineLvl w:val="2"/>
    </w:pPr>
    <w:rPr>
      <w:b/>
      <w:bCs/>
    </w:rPr>
  </w:style>
  <w:style w:type="paragraph" w:styleId="Ttulo4">
    <w:name w:val="Heading 4"/>
    <w:basedOn w:val="Normal1"/>
    <w:next w:val="Normal1"/>
    <w:qFormat/>
    <w:pPr>
      <w:keepNext w:val="true"/>
      <w:keepLines/>
      <w:numPr>
        <w:ilvl w:val="3"/>
        <w:numId w:val="1"/>
      </w:numPr>
      <w:suppressAutoHyphens w:val="true"/>
      <w:spacing w:before="40" w:after="0"/>
      <w:outlineLvl w:val="3"/>
    </w:pPr>
    <w:rPr>
      <w:rFonts w:ascii="Calibri Light" w:hAnsi="Calibri Light" w:eastAsia="Times New Roman" w:cs="Mangal"/>
      <w:i/>
      <w:iCs/>
      <w:color w:val="2F5496"/>
    </w:rPr>
  </w:style>
  <w:style w:type="character" w:styleId="Fuentedeprrafopredeter">
    <w:name w:val="Fuente de párrafo predeter."/>
    <w:qFormat/>
    <w:rPr/>
  </w:style>
  <w:style w:type="character" w:styleId="Nfasis">
    <w:name w:val="Énfasis"/>
    <w:basedOn w:val="Fuentedeprrafopredeter"/>
    <w:qFormat/>
    <w:rPr>
      <w:i/>
      <w:iCs/>
    </w:rPr>
  </w:style>
  <w:style w:type="character" w:styleId="TextodegloboCar">
    <w:name w:val="Texto de globo Car"/>
    <w:basedOn w:val="Fuentedeprrafopredeter"/>
    <w:qFormat/>
    <w:rPr>
      <w:rFonts w:ascii="Segoe UI" w:hAnsi="Segoe UI" w:cs="Mangal"/>
      <w:sz w:val="18"/>
      <w:szCs w:val="16"/>
    </w:rPr>
  </w:style>
  <w:style w:type="character" w:styleId="PiedepginaCar">
    <w:name w:val="Pie de página Car"/>
    <w:basedOn w:val="Fuentedeprrafopredeter"/>
    <w:qFormat/>
    <w:rPr/>
  </w:style>
  <w:style w:type="character" w:styleId="Ttulo4Car">
    <w:name w:val="Título 4 Car"/>
    <w:basedOn w:val="Fuentedeprrafopredeter"/>
    <w:qFormat/>
    <w:rPr>
      <w:rFonts w:ascii="Calibri Light" w:hAnsi="Calibri Light" w:eastAsia="Times New Roman" w:cs="Mangal"/>
      <w:i/>
      <w:iCs/>
      <w:color w:val="2F5496"/>
      <w:sz w:val="22"/>
    </w:rPr>
  </w:style>
  <w:style w:type="character" w:styleId="Textoennegrita">
    <w:name w:val="Texto en negrita"/>
    <w:basedOn w:val="Fuentedeprrafopredeter"/>
    <w:qFormat/>
    <w:rPr>
      <w:b/>
      <w:bCs/>
    </w:rPr>
  </w:style>
  <w:style w:type="character" w:styleId="Hipervnculo">
    <w:name w:val="Hipervínculo"/>
    <w:basedOn w:val="Fuentedeprrafopredeter"/>
    <w:qFormat/>
    <w:rPr>
      <w:color w:val="0000FF"/>
      <w:u w:val="single"/>
    </w:rPr>
  </w:style>
  <w:style w:type="character" w:styleId="Bold">
    <w:name w:val="bold"/>
    <w:basedOn w:val="Fuentedeprrafopredeter"/>
    <w:qFormat/>
    <w:rPr/>
  </w:style>
  <w:style w:type="character" w:styleId="Destacadointerior1">
    <w:name w:val="destacado-interior1"/>
    <w:basedOn w:val="Fuentedeprrafopredeter"/>
    <w:qFormat/>
    <w:rPr/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CharLFO3LVL1">
    <w:name w:val="WW_CharLFO3LVL1"/>
    <w:qFormat/>
    <w:rPr>
      <w:rFonts w:ascii="Symbol" w:hAnsi="Symbol"/>
      <w:sz w:val="20"/>
    </w:rPr>
  </w:style>
  <w:style w:type="character" w:styleId="WWCharLFO3LVL2">
    <w:name w:val="WW_CharLFO3LVL2"/>
    <w:qFormat/>
    <w:rPr>
      <w:rFonts w:ascii="Symbol" w:hAnsi="Symbol"/>
      <w:sz w:val="20"/>
    </w:rPr>
  </w:style>
  <w:style w:type="character" w:styleId="WWCharLFO3LVL3">
    <w:name w:val="WW_CharLFO3LVL3"/>
    <w:qFormat/>
    <w:rPr>
      <w:rFonts w:ascii="Symbol" w:hAnsi="Symbol"/>
      <w:sz w:val="20"/>
    </w:rPr>
  </w:style>
  <w:style w:type="character" w:styleId="WWCharLFO3LVL4">
    <w:name w:val="WW_CharLFO3LVL4"/>
    <w:qFormat/>
    <w:rPr>
      <w:rFonts w:ascii="Symbol" w:hAnsi="Symbol"/>
      <w:sz w:val="20"/>
    </w:rPr>
  </w:style>
  <w:style w:type="character" w:styleId="WWCharLFO3LVL5">
    <w:name w:val="WW_CharLFO3LVL5"/>
    <w:qFormat/>
    <w:rPr>
      <w:rFonts w:ascii="Symbol" w:hAnsi="Symbol"/>
      <w:sz w:val="20"/>
    </w:rPr>
  </w:style>
  <w:style w:type="character" w:styleId="WWCharLFO3LVL6">
    <w:name w:val="WW_CharLFO3LVL6"/>
    <w:qFormat/>
    <w:rPr>
      <w:rFonts w:ascii="Symbol" w:hAnsi="Symbol"/>
      <w:sz w:val="20"/>
    </w:rPr>
  </w:style>
  <w:style w:type="character" w:styleId="WWCharLFO3LVL7">
    <w:name w:val="WW_CharLFO3LVL7"/>
    <w:qFormat/>
    <w:rPr>
      <w:rFonts w:ascii="Symbol" w:hAnsi="Symbol"/>
      <w:sz w:val="20"/>
    </w:rPr>
  </w:style>
  <w:style w:type="character" w:styleId="WWCharLFO3LVL8">
    <w:name w:val="WW_CharLFO3LVL8"/>
    <w:qFormat/>
    <w:rPr>
      <w:rFonts w:ascii="Symbol" w:hAnsi="Symbol"/>
      <w:sz w:val="20"/>
    </w:rPr>
  </w:style>
  <w:style w:type="character" w:styleId="WWCharLFO3LVL9">
    <w:name w:val="WW_CharLFO3LVL9"/>
    <w:qFormat/>
    <w:rPr>
      <w:rFonts w:ascii="Symbol" w:hAnsi="Symbol"/>
      <w:sz w:val="20"/>
    </w:rPr>
  </w:style>
  <w:style w:type="character" w:styleId="WWCharLFO4LVL1">
    <w:name w:val="WW_CharLFO4LVL1"/>
    <w:qFormat/>
    <w:rPr>
      <w:rFonts w:ascii="Symbol" w:hAnsi="Symbol"/>
      <w:sz w:val="20"/>
    </w:rPr>
  </w:style>
  <w:style w:type="character" w:styleId="WWCharLFO4LVL2">
    <w:name w:val="WW_CharLFO4LVL2"/>
    <w:qFormat/>
    <w:rPr>
      <w:rFonts w:ascii="Symbol" w:hAnsi="Symbol"/>
      <w:sz w:val="20"/>
    </w:rPr>
  </w:style>
  <w:style w:type="character" w:styleId="WWCharLFO4LVL3">
    <w:name w:val="WW_CharLFO4LVL3"/>
    <w:qFormat/>
    <w:rPr>
      <w:rFonts w:ascii="Symbol" w:hAnsi="Symbol"/>
      <w:sz w:val="20"/>
    </w:rPr>
  </w:style>
  <w:style w:type="character" w:styleId="WWCharLFO4LVL4">
    <w:name w:val="WW_CharLFO4LVL4"/>
    <w:qFormat/>
    <w:rPr>
      <w:rFonts w:ascii="Symbol" w:hAnsi="Symbol"/>
      <w:sz w:val="20"/>
    </w:rPr>
  </w:style>
  <w:style w:type="character" w:styleId="WWCharLFO4LVL5">
    <w:name w:val="WW_CharLFO4LVL5"/>
    <w:qFormat/>
    <w:rPr>
      <w:rFonts w:ascii="Symbol" w:hAnsi="Symbol"/>
      <w:sz w:val="20"/>
    </w:rPr>
  </w:style>
  <w:style w:type="character" w:styleId="WWCharLFO4LVL6">
    <w:name w:val="WW_CharLFO4LVL6"/>
    <w:qFormat/>
    <w:rPr>
      <w:rFonts w:ascii="Symbol" w:hAnsi="Symbol"/>
      <w:sz w:val="20"/>
    </w:rPr>
  </w:style>
  <w:style w:type="character" w:styleId="WWCharLFO4LVL7">
    <w:name w:val="WW_CharLFO4LVL7"/>
    <w:qFormat/>
    <w:rPr>
      <w:rFonts w:ascii="Symbol" w:hAnsi="Symbol"/>
      <w:sz w:val="20"/>
    </w:rPr>
  </w:style>
  <w:style w:type="character" w:styleId="WWCharLFO4LVL8">
    <w:name w:val="WW_CharLFO4LVL8"/>
    <w:qFormat/>
    <w:rPr>
      <w:rFonts w:ascii="Symbol" w:hAnsi="Symbol"/>
      <w:sz w:val="20"/>
    </w:rPr>
  </w:style>
  <w:style w:type="character" w:styleId="WWCharLFO4LVL9">
    <w:name w:val="WW_CharLFO4LVL9"/>
    <w:qFormat/>
    <w:rPr>
      <w:rFonts w:ascii="Symbol" w:hAnsi="Symbol"/>
      <w:sz w:val="20"/>
    </w:rPr>
  </w:style>
  <w:style w:type="character" w:styleId="WWCharLFO5LVL1">
    <w:name w:val="WW_CharLFO5LVL1"/>
    <w:qFormat/>
    <w:rPr>
      <w:rFonts w:ascii="Symbol" w:hAnsi="Symbol"/>
      <w:sz w:val="20"/>
    </w:rPr>
  </w:style>
  <w:style w:type="character" w:styleId="WWCharLFO5LVL2">
    <w:name w:val="WW_CharLFO5LVL2"/>
    <w:qFormat/>
    <w:rPr>
      <w:rFonts w:ascii="Symbol" w:hAnsi="Symbol"/>
      <w:sz w:val="20"/>
    </w:rPr>
  </w:style>
  <w:style w:type="character" w:styleId="WWCharLFO5LVL3">
    <w:name w:val="WW_CharLFO5LVL3"/>
    <w:qFormat/>
    <w:rPr>
      <w:rFonts w:ascii="Symbol" w:hAnsi="Symbol"/>
      <w:sz w:val="20"/>
    </w:rPr>
  </w:style>
  <w:style w:type="character" w:styleId="WWCharLFO5LVL4">
    <w:name w:val="WW_CharLFO5LVL4"/>
    <w:qFormat/>
    <w:rPr>
      <w:rFonts w:ascii="Symbol" w:hAnsi="Symbol"/>
      <w:sz w:val="20"/>
    </w:rPr>
  </w:style>
  <w:style w:type="character" w:styleId="WWCharLFO5LVL5">
    <w:name w:val="WW_CharLFO5LVL5"/>
    <w:qFormat/>
    <w:rPr>
      <w:rFonts w:ascii="Symbol" w:hAnsi="Symbol"/>
      <w:sz w:val="20"/>
    </w:rPr>
  </w:style>
  <w:style w:type="character" w:styleId="WWCharLFO5LVL6">
    <w:name w:val="WW_CharLFO5LVL6"/>
    <w:qFormat/>
    <w:rPr>
      <w:rFonts w:ascii="Symbol" w:hAnsi="Symbol"/>
      <w:sz w:val="20"/>
    </w:rPr>
  </w:style>
  <w:style w:type="character" w:styleId="WWCharLFO5LVL7">
    <w:name w:val="WW_CharLFO5LVL7"/>
    <w:qFormat/>
    <w:rPr>
      <w:rFonts w:ascii="Symbol" w:hAnsi="Symbol"/>
      <w:sz w:val="20"/>
    </w:rPr>
  </w:style>
  <w:style w:type="character" w:styleId="WWCharLFO5LVL8">
    <w:name w:val="WW_CharLFO5LVL8"/>
    <w:qFormat/>
    <w:rPr>
      <w:rFonts w:ascii="Symbol" w:hAnsi="Symbol"/>
      <w:sz w:val="20"/>
    </w:rPr>
  </w:style>
  <w:style w:type="character" w:styleId="WWCharLFO5LVL9">
    <w:name w:val="WW_CharLFO5LVL9"/>
    <w:qFormat/>
    <w:rPr>
      <w:rFonts w:ascii="Symbol" w:hAnsi="Symbol"/>
      <w:sz w:val="20"/>
    </w:rPr>
  </w:style>
  <w:style w:type="character" w:styleId="WWCharLFO6LVL1">
    <w:name w:val="WW_CharLFO6LVL1"/>
    <w:qFormat/>
    <w:rPr>
      <w:rFonts w:ascii="Symbol" w:hAnsi="Symbol"/>
      <w:sz w:val="20"/>
    </w:rPr>
  </w:style>
  <w:style w:type="character" w:styleId="WWCharLFO6LVL2">
    <w:name w:val="WW_CharLFO6LVL2"/>
    <w:qFormat/>
    <w:rPr>
      <w:rFonts w:ascii="Symbol" w:hAnsi="Symbol"/>
      <w:sz w:val="20"/>
    </w:rPr>
  </w:style>
  <w:style w:type="character" w:styleId="WWCharLFO6LVL3">
    <w:name w:val="WW_CharLFO6LVL3"/>
    <w:qFormat/>
    <w:rPr>
      <w:rFonts w:ascii="Symbol" w:hAnsi="Symbol"/>
      <w:sz w:val="20"/>
    </w:rPr>
  </w:style>
  <w:style w:type="character" w:styleId="WWCharLFO6LVL4">
    <w:name w:val="WW_CharLFO6LVL4"/>
    <w:qFormat/>
    <w:rPr>
      <w:rFonts w:ascii="Symbol" w:hAnsi="Symbol"/>
      <w:sz w:val="20"/>
    </w:rPr>
  </w:style>
  <w:style w:type="character" w:styleId="WWCharLFO6LVL5">
    <w:name w:val="WW_CharLFO6LVL5"/>
    <w:qFormat/>
    <w:rPr>
      <w:rFonts w:ascii="Symbol" w:hAnsi="Symbol"/>
      <w:sz w:val="20"/>
    </w:rPr>
  </w:style>
  <w:style w:type="character" w:styleId="WWCharLFO6LVL6">
    <w:name w:val="WW_CharLFO6LVL6"/>
    <w:qFormat/>
    <w:rPr>
      <w:rFonts w:ascii="Symbol" w:hAnsi="Symbol"/>
      <w:sz w:val="20"/>
    </w:rPr>
  </w:style>
  <w:style w:type="character" w:styleId="WWCharLFO6LVL7">
    <w:name w:val="WW_CharLFO6LVL7"/>
    <w:qFormat/>
    <w:rPr>
      <w:rFonts w:ascii="Symbol" w:hAnsi="Symbol"/>
      <w:sz w:val="20"/>
    </w:rPr>
  </w:style>
  <w:style w:type="character" w:styleId="WWCharLFO6LVL8">
    <w:name w:val="WW_CharLFO6LVL8"/>
    <w:qFormat/>
    <w:rPr>
      <w:rFonts w:ascii="Symbol" w:hAnsi="Symbol"/>
      <w:sz w:val="20"/>
    </w:rPr>
  </w:style>
  <w:style w:type="character" w:styleId="WWCharLFO6LVL9">
    <w:name w:val="WW_CharLFO6LVL9"/>
    <w:qFormat/>
    <w:rPr>
      <w:rFonts w:ascii="Symbol" w:hAnsi="Symbol"/>
      <w:sz w:val="20"/>
    </w:rPr>
  </w:style>
  <w:style w:type="character" w:styleId="WWCharLFO7LVL1">
    <w:name w:val="WW_CharLFO7LVL1"/>
    <w:qFormat/>
    <w:rPr>
      <w:rFonts w:ascii="Symbol" w:hAnsi="Symbol"/>
      <w:sz w:val="20"/>
    </w:rPr>
  </w:style>
  <w:style w:type="character" w:styleId="WWCharLFO7LVL2">
    <w:name w:val="WW_CharLFO7LVL2"/>
    <w:qFormat/>
    <w:rPr>
      <w:rFonts w:ascii="Symbol" w:hAnsi="Symbol"/>
      <w:sz w:val="20"/>
    </w:rPr>
  </w:style>
  <w:style w:type="character" w:styleId="WWCharLFO7LVL3">
    <w:name w:val="WW_CharLFO7LVL3"/>
    <w:qFormat/>
    <w:rPr>
      <w:rFonts w:ascii="Symbol" w:hAnsi="Symbol"/>
      <w:sz w:val="20"/>
    </w:rPr>
  </w:style>
  <w:style w:type="character" w:styleId="WWCharLFO7LVL4">
    <w:name w:val="WW_CharLFO7LVL4"/>
    <w:qFormat/>
    <w:rPr>
      <w:rFonts w:ascii="Symbol" w:hAnsi="Symbol"/>
      <w:sz w:val="20"/>
    </w:rPr>
  </w:style>
  <w:style w:type="character" w:styleId="WWCharLFO7LVL5">
    <w:name w:val="WW_CharLFO7LVL5"/>
    <w:qFormat/>
    <w:rPr>
      <w:rFonts w:ascii="Symbol" w:hAnsi="Symbol"/>
      <w:sz w:val="20"/>
    </w:rPr>
  </w:style>
  <w:style w:type="character" w:styleId="WWCharLFO7LVL6">
    <w:name w:val="WW_CharLFO7LVL6"/>
    <w:qFormat/>
    <w:rPr>
      <w:rFonts w:ascii="Symbol" w:hAnsi="Symbol"/>
      <w:sz w:val="20"/>
    </w:rPr>
  </w:style>
  <w:style w:type="character" w:styleId="WWCharLFO7LVL7">
    <w:name w:val="WW_CharLFO7LVL7"/>
    <w:qFormat/>
    <w:rPr>
      <w:rFonts w:ascii="Symbol" w:hAnsi="Symbol"/>
      <w:sz w:val="20"/>
    </w:rPr>
  </w:style>
  <w:style w:type="character" w:styleId="WWCharLFO7LVL8">
    <w:name w:val="WW_CharLFO7LVL8"/>
    <w:qFormat/>
    <w:rPr>
      <w:rFonts w:ascii="Symbol" w:hAnsi="Symbol"/>
      <w:sz w:val="20"/>
    </w:rPr>
  </w:style>
  <w:style w:type="character" w:styleId="WWCharLFO7LVL9">
    <w:name w:val="WW_CharLFO7LVL9"/>
    <w:qFormat/>
    <w:rPr>
      <w:rFonts w:ascii="Symbol" w:hAnsi="Symbol"/>
      <w:sz w:val="20"/>
    </w:rPr>
  </w:style>
  <w:style w:type="character" w:styleId="WWCharLFO8LVL1">
    <w:name w:val="WW_CharLFO8LVL1"/>
    <w:qFormat/>
    <w:rPr>
      <w:rFonts w:ascii="Symbol" w:hAnsi="Symbol"/>
      <w:sz w:val="20"/>
    </w:rPr>
  </w:style>
  <w:style w:type="character" w:styleId="WWCharLFO8LVL2">
    <w:name w:val="WW_CharLFO8LVL2"/>
    <w:qFormat/>
    <w:rPr>
      <w:rFonts w:ascii="Symbol" w:hAnsi="Symbol"/>
      <w:sz w:val="20"/>
    </w:rPr>
  </w:style>
  <w:style w:type="character" w:styleId="WWCharLFO8LVL3">
    <w:name w:val="WW_CharLFO8LVL3"/>
    <w:qFormat/>
    <w:rPr>
      <w:rFonts w:ascii="Symbol" w:hAnsi="Symbol"/>
      <w:sz w:val="20"/>
    </w:rPr>
  </w:style>
  <w:style w:type="character" w:styleId="WWCharLFO8LVL4">
    <w:name w:val="WW_CharLFO8LVL4"/>
    <w:qFormat/>
    <w:rPr>
      <w:rFonts w:ascii="Symbol" w:hAnsi="Symbol"/>
      <w:sz w:val="20"/>
    </w:rPr>
  </w:style>
  <w:style w:type="character" w:styleId="WWCharLFO8LVL5">
    <w:name w:val="WW_CharLFO8LVL5"/>
    <w:qFormat/>
    <w:rPr>
      <w:rFonts w:ascii="Symbol" w:hAnsi="Symbol"/>
      <w:sz w:val="20"/>
    </w:rPr>
  </w:style>
  <w:style w:type="character" w:styleId="WWCharLFO8LVL6">
    <w:name w:val="WW_CharLFO8LVL6"/>
    <w:qFormat/>
    <w:rPr>
      <w:rFonts w:ascii="Symbol" w:hAnsi="Symbol"/>
      <w:sz w:val="20"/>
    </w:rPr>
  </w:style>
  <w:style w:type="character" w:styleId="WWCharLFO8LVL7">
    <w:name w:val="WW_CharLFO8LVL7"/>
    <w:qFormat/>
    <w:rPr>
      <w:rFonts w:ascii="Symbol" w:hAnsi="Symbol"/>
      <w:sz w:val="20"/>
    </w:rPr>
  </w:style>
  <w:style w:type="character" w:styleId="WWCharLFO8LVL8">
    <w:name w:val="WW_CharLFO8LVL8"/>
    <w:qFormat/>
    <w:rPr>
      <w:rFonts w:ascii="Symbol" w:hAnsi="Symbol"/>
      <w:sz w:val="20"/>
    </w:rPr>
  </w:style>
  <w:style w:type="character" w:styleId="WWCharLFO8LVL9">
    <w:name w:val="WW_CharLFO8LVL9"/>
    <w:qFormat/>
    <w:rPr>
      <w:rFonts w:ascii="Symbol" w:hAnsi="Symbol"/>
      <w:sz w:val="20"/>
    </w:rPr>
  </w:style>
  <w:style w:type="character" w:styleId="WWCharLFO9LVL1">
    <w:name w:val="WW_CharLFO9LVL1"/>
    <w:qFormat/>
    <w:rPr>
      <w:rFonts w:ascii="Symbol" w:hAnsi="Symbol"/>
      <w:sz w:val="20"/>
    </w:rPr>
  </w:style>
  <w:style w:type="character" w:styleId="WWCharLFO9LVL2">
    <w:name w:val="WW_CharLFO9LVL2"/>
    <w:qFormat/>
    <w:rPr>
      <w:rFonts w:ascii="Courier New" w:hAnsi="Courier New"/>
      <w:sz w:val="20"/>
    </w:rPr>
  </w:style>
  <w:style w:type="character" w:styleId="WWCharLFO9LVL3">
    <w:name w:val="WW_CharLFO9LVL3"/>
    <w:qFormat/>
    <w:rPr>
      <w:rFonts w:ascii="Wingdings" w:hAnsi="Wingdings"/>
      <w:sz w:val="20"/>
    </w:rPr>
  </w:style>
  <w:style w:type="character" w:styleId="WWCharLFO9LVL4">
    <w:name w:val="WW_CharLFO9LVL4"/>
    <w:qFormat/>
    <w:rPr>
      <w:rFonts w:ascii="Wingdings" w:hAnsi="Wingdings"/>
      <w:sz w:val="20"/>
    </w:rPr>
  </w:style>
  <w:style w:type="character" w:styleId="WWCharLFO9LVL5">
    <w:name w:val="WW_CharLFO9LVL5"/>
    <w:qFormat/>
    <w:rPr>
      <w:rFonts w:ascii="Wingdings" w:hAnsi="Wingdings"/>
      <w:sz w:val="20"/>
    </w:rPr>
  </w:style>
  <w:style w:type="character" w:styleId="WWCharLFO9LVL6">
    <w:name w:val="WW_CharLFO9LVL6"/>
    <w:qFormat/>
    <w:rPr>
      <w:rFonts w:ascii="Wingdings" w:hAnsi="Wingdings"/>
      <w:sz w:val="20"/>
    </w:rPr>
  </w:style>
  <w:style w:type="character" w:styleId="WWCharLFO9LVL7">
    <w:name w:val="WW_CharLFO9LVL7"/>
    <w:qFormat/>
    <w:rPr>
      <w:rFonts w:ascii="Wingdings" w:hAnsi="Wingdings"/>
      <w:sz w:val="20"/>
    </w:rPr>
  </w:style>
  <w:style w:type="character" w:styleId="WWCharLFO9LVL8">
    <w:name w:val="WW_CharLFO9LVL8"/>
    <w:qFormat/>
    <w:rPr>
      <w:rFonts w:ascii="Wingdings" w:hAnsi="Wingdings"/>
      <w:sz w:val="20"/>
    </w:rPr>
  </w:style>
  <w:style w:type="character" w:styleId="WWCharLFO9LVL9">
    <w:name w:val="WW_CharLFO9LVL9"/>
    <w:qFormat/>
    <w:rPr>
      <w:rFonts w:ascii="Wingdings" w:hAnsi="Wingdings"/>
      <w:sz w:val="20"/>
    </w:rPr>
  </w:style>
  <w:style w:type="character" w:styleId="WWCharLFO10LVL1">
    <w:name w:val="WW_CharLFO10LVL1"/>
    <w:qFormat/>
    <w:rPr>
      <w:rFonts w:ascii="Symbol" w:hAnsi="Symbol"/>
      <w:sz w:val="20"/>
    </w:rPr>
  </w:style>
  <w:style w:type="character" w:styleId="WWCharLFO10LVL2">
    <w:name w:val="WW_CharLFO10LVL2"/>
    <w:qFormat/>
    <w:rPr>
      <w:rFonts w:ascii="Courier New" w:hAnsi="Courier New"/>
      <w:sz w:val="20"/>
    </w:rPr>
  </w:style>
  <w:style w:type="character" w:styleId="WWCharLFO10LVL3">
    <w:name w:val="WW_CharLFO10LVL3"/>
    <w:qFormat/>
    <w:rPr>
      <w:rFonts w:ascii="Wingdings" w:hAnsi="Wingdings"/>
      <w:sz w:val="20"/>
    </w:rPr>
  </w:style>
  <w:style w:type="character" w:styleId="WWCharLFO10LVL4">
    <w:name w:val="WW_CharLFO10LVL4"/>
    <w:qFormat/>
    <w:rPr>
      <w:rFonts w:ascii="Wingdings" w:hAnsi="Wingdings"/>
      <w:sz w:val="20"/>
    </w:rPr>
  </w:style>
  <w:style w:type="character" w:styleId="WWCharLFO10LVL5">
    <w:name w:val="WW_CharLFO10LVL5"/>
    <w:qFormat/>
    <w:rPr>
      <w:rFonts w:ascii="Wingdings" w:hAnsi="Wingdings"/>
      <w:sz w:val="20"/>
    </w:rPr>
  </w:style>
  <w:style w:type="character" w:styleId="WWCharLFO10LVL6">
    <w:name w:val="WW_CharLFO10LVL6"/>
    <w:qFormat/>
    <w:rPr>
      <w:rFonts w:ascii="Wingdings" w:hAnsi="Wingdings"/>
      <w:sz w:val="20"/>
    </w:rPr>
  </w:style>
  <w:style w:type="character" w:styleId="WWCharLFO10LVL7">
    <w:name w:val="WW_CharLFO10LVL7"/>
    <w:qFormat/>
    <w:rPr>
      <w:rFonts w:ascii="Wingdings" w:hAnsi="Wingdings"/>
      <w:sz w:val="20"/>
    </w:rPr>
  </w:style>
  <w:style w:type="character" w:styleId="WWCharLFO10LVL8">
    <w:name w:val="WW_CharLFO10LVL8"/>
    <w:qFormat/>
    <w:rPr>
      <w:rFonts w:ascii="Wingdings" w:hAnsi="Wingdings"/>
      <w:sz w:val="20"/>
    </w:rPr>
  </w:style>
  <w:style w:type="character" w:styleId="WWCharLFO10LVL9">
    <w:name w:val="WW_CharLFO10LVL9"/>
    <w:qFormat/>
    <w:rPr>
      <w:rFonts w:ascii="Wingdings" w:hAnsi="Wingdings"/>
      <w:sz w:val="20"/>
    </w:rPr>
  </w:style>
  <w:style w:type="character" w:styleId="WWCharLFO11LVL1">
    <w:name w:val="WW_CharLFO11LVL1"/>
    <w:qFormat/>
    <w:rPr>
      <w:rFonts w:ascii="Symbol" w:hAnsi="Symbol"/>
      <w:sz w:val="20"/>
    </w:rPr>
  </w:style>
  <w:style w:type="character" w:styleId="WWCharLFO11LVL2">
    <w:name w:val="WW_CharLFO11LVL2"/>
    <w:qFormat/>
    <w:rPr>
      <w:rFonts w:ascii="Courier New" w:hAnsi="Courier New"/>
      <w:sz w:val="20"/>
    </w:rPr>
  </w:style>
  <w:style w:type="character" w:styleId="WWCharLFO11LVL3">
    <w:name w:val="WW_CharLFO11LVL3"/>
    <w:qFormat/>
    <w:rPr>
      <w:rFonts w:ascii="Wingdings" w:hAnsi="Wingdings"/>
      <w:sz w:val="20"/>
    </w:rPr>
  </w:style>
  <w:style w:type="character" w:styleId="WWCharLFO11LVL4">
    <w:name w:val="WW_CharLFO11LVL4"/>
    <w:qFormat/>
    <w:rPr>
      <w:rFonts w:ascii="Wingdings" w:hAnsi="Wingdings"/>
      <w:sz w:val="20"/>
    </w:rPr>
  </w:style>
  <w:style w:type="character" w:styleId="WWCharLFO11LVL5">
    <w:name w:val="WW_CharLFO11LVL5"/>
    <w:qFormat/>
    <w:rPr>
      <w:rFonts w:ascii="Wingdings" w:hAnsi="Wingdings"/>
      <w:sz w:val="20"/>
    </w:rPr>
  </w:style>
  <w:style w:type="character" w:styleId="WWCharLFO11LVL6">
    <w:name w:val="WW_CharLFO11LVL6"/>
    <w:qFormat/>
    <w:rPr>
      <w:rFonts w:ascii="Wingdings" w:hAnsi="Wingdings"/>
      <w:sz w:val="20"/>
    </w:rPr>
  </w:style>
  <w:style w:type="character" w:styleId="WWCharLFO11LVL7">
    <w:name w:val="WW_CharLFO11LVL7"/>
    <w:qFormat/>
    <w:rPr>
      <w:rFonts w:ascii="Wingdings" w:hAnsi="Wingdings"/>
      <w:sz w:val="20"/>
    </w:rPr>
  </w:style>
  <w:style w:type="character" w:styleId="WWCharLFO11LVL8">
    <w:name w:val="WW_CharLFO11LVL8"/>
    <w:qFormat/>
    <w:rPr>
      <w:rFonts w:ascii="Wingdings" w:hAnsi="Wingdings"/>
      <w:sz w:val="20"/>
    </w:rPr>
  </w:style>
  <w:style w:type="character" w:styleId="WWCharLFO11LVL9">
    <w:name w:val="WW_CharLFO11LVL9"/>
    <w:qFormat/>
    <w:rPr>
      <w:rFonts w:ascii="Wingdings" w:hAnsi="Wingdings"/>
      <w:sz w:val="20"/>
    </w:rPr>
  </w:style>
  <w:style w:type="character" w:styleId="WWCharLFO12LVL1">
    <w:name w:val="WW_CharLFO12LVL1"/>
    <w:qFormat/>
    <w:rPr>
      <w:rFonts w:ascii="Symbol" w:hAnsi="Symbol"/>
      <w:sz w:val="20"/>
    </w:rPr>
  </w:style>
  <w:style w:type="character" w:styleId="WWCharLFO12LVL2">
    <w:name w:val="WW_CharLFO12LVL2"/>
    <w:qFormat/>
    <w:rPr>
      <w:rFonts w:ascii="Courier New" w:hAnsi="Courier New"/>
      <w:sz w:val="20"/>
    </w:rPr>
  </w:style>
  <w:style w:type="character" w:styleId="WWCharLFO12LVL3">
    <w:name w:val="WW_CharLFO12LVL3"/>
    <w:qFormat/>
    <w:rPr>
      <w:rFonts w:ascii="Wingdings" w:hAnsi="Wingdings"/>
      <w:sz w:val="20"/>
    </w:rPr>
  </w:style>
  <w:style w:type="character" w:styleId="WWCharLFO12LVL4">
    <w:name w:val="WW_CharLFO12LVL4"/>
    <w:qFormat/>
    <w:rPr>
      <w:rFonts w:ascii="Wingdings" w:hAnsi="Wingdings"/>
      <w:sz w:val="20"/>
    </w:rPr>
  </w:style>
  <w:style w:type="character" w:styleId="WWCharLFO12LVL5">
    <w:name w:val="WW_CharLFO12LVL5"/>
    <w:qFormat/>
    <w:rPr>
      <w:rFonts w:ascii="Wingdings" w:hAnsi="Wingdings"/>
      <w:sz w:val="20"/>
    </w:rPr>
  </w:style>
  <w:style w:type="character" w:styleId="WWCharLFO12LVL6">
    <w:name w:val="WW_CharLFO12LVL6"/>
    <w:qFormat/>
    <w:rPr>
      <w:rFonts w:ascii="Wingdings" w:hAnsi="Wingdings"/>
      <w:sz w:val="20"/>
    </w:rPr>
  </w:style>
  <w:style w:type="character" w:styleId="WWCharLFO12LVL7">
    <w:name w:val="WW_CharLFO12LVL7"/>
    <w:qFormat/>
    <w:rPr>
      <w:rFonts w:ascii="Wingdings" w:hAnsi="Wingdings"/>
      <w:sz w:val="20"/>
    </w:rPr>
  </w:style>
  <w:style w:type="character" w:styleId="WWCharLFO12LVL8">
    <w:name w:val="WW_CharLFO12LVL8"/>
    <w:qFormat/>
    <w:rPr>
      <w:rFonts w:ascii="Wingdings" w:hAnsi="Wingdings"/>
      <w:sz w:val="20"/>
    </w:rPr>
  </w:style>
  <w:style w:type="character" w:styleId="WWCharLFO12LVL9">
    <w:name w:val="WW_CharLFO12LVL9"/>
    <w:qFormat/>
    <w:rPr>
      <w:rFonts w:ascii="Wingdings" w:hAnsi="Wingdings"/>
      <w:sz w:val="20"/>
    </w:rPr>
  </w:style>
  <w:style w:type="character" w:styleId="WWCharLFO13LVL1">
    <w:name w:val="WW_CharLFO13LVL1"/>
    <w:qFormat/>
    <w:rPr>
      <w:rFonts w:ascii="Symbol" w:hAnsi="Symbol"/>
      <w:sz w:val="20"/>
    </w:rPr>
  </w:style>
  <w:style w:type="character" w:styleId="WWCharLFO13LVL2">
    <w:name w:val="WW_CharLFO13LVL2"/>
    <w:qFormat/>
    <w:rPr>
      <w:rFonts w:ascii="Courier New" w:hAnsi="Courier New"/>
      <w:sz w:val="20"/>
    </w:rPr>
  </w:style>
  <w:style w:type="character" w:styleId="WWCharLFO13LVL3">
    <w:name w:val="WW_CharLFO13LVL3"/>
    <w:qFormat/>
    <w:rPr>
      <w:rFonts w:ascii="Wingdings" w:hAnsi="Wingdings"/>
      <w:sz w:val="20"/>
    </w:rPr>
  </w:style>
  <w:style w:type="character" w:styleId="WWCharLFO13LVL4">
    <w:name w:val="WW_CharLFO13LVL4"/>
    <w:qFormat/>
    <w:rPr>
      <w:rFonts w:ascii="Wingdings" w:hAnsi="Wingdings"/>
      <w:sz w:val="20"/>
    </w:rPr>
  </w:style>
  <w:style w:type="character" w:styleId="WWCharLFO13LVL5">
    <w:name w:val="WW_CharLFO13LVL5"/>
    <w:qFormat/>
    <w:rPr>
      <w:rFonts w:ascii="Wingdings" w:hAnsi="Wingdings"/>
      <w:sz w:val="20"/>
    </w:rPr>
  </w:style>
  <w:style w:type="character" w:styleId="WWCharLFO13LVL6">
    <w:name w:val="WW_CharLFO13LVL6"/>
    <w:qFormat/>
    <w:rPr>
      <w:rFonts w:ascii="Wingdings" w:hAnsi="Wingdings"/>
      <w:sz w:val="20"/>
    </w:rPr>
  </w:style>
  <w:style w:type="character" w:styleId="WWCharLFO13LVL7">
    <w:name w:val="WW_CharLFO13LVL7"/>
    <w:qFormat/>
    <w:rPr>
      <w:rFonts w:ascii="Wingdings" w:hAnsi="Wingdings"/>
      <w:sz w:val="20"/>
    </w:rPr>
  </w:style>
  <w:style w:type="character" w:styleId="WWCharLFO13LVL8">
    <w:name w:val="WW_CharLFO13LVL8"/>
    <w:qFormat/>
    <w:rPr>
      <w:rFonts w:ascii="Wingdings" w:hAnsi="Wingdings"/>
      <w:sz w:val="20"/>
    </w:rPr>
  </w:style>
  <w:style w:type="character" w:styleId="WWCharLFO13LVL9">
    <w:name w:val="WW_CharLFO13LVL9"/>
    <w:qFormat/>
    <w:rPr>
      <w:rFonts w:ascii="Wingdings" w:hAnsi="Wingdings"/>
      <w:sz w:val="20"/>
    </w:rPr>
  </w:style>
  <w:style w:type="character" w:styleId="WWCharLFO14LVL1">
    <w:name w:val="WW_CharLFO14LVL1"/>
    <w:qFormat/>
    <w:rPr>
      <w:rFonts w:ascii="Symbol" w:hAnsi="Symbol"/>
      <w:sz w:val="20"/>
    </w:rPr>
  </w:style>
  <w:style w:type="character" w:styleId="WWCharLFO14LVL2">
    <w:name w:val="WW_CharLFO14LVL2"/>
    <w:qFormat/>
    <w:rPr>
      <w:rFonts w:ascii="Courier New" w:hAnsi="Courier New"/>
      <w:sz w:val="20"/>
    </w:rPr>
  </w:style>
  <w:style w:type="character" w:styleId="WWCharLFO14LVL3">
    <w:name w:val="WW_CharLFO14LVL3"/>
    <w:qFormat/>
    <w:rPr>
      <w:rFonts w:ascii="Wingdings" w:hAnsi="Wingdings"/>
      <w:sz w:val="20"/>
    </w:rPr>
  </w:style>
  <w:style w:type="character" w:styleId="WWCharLFO14LVL4">
    <w:name w:val="WW_CharLFO14LVL4"/>
    <w:qFormat/>
    <w:rPr>
      <w:rFonts w:ascii="Wingdings" w:hAnsi="Wingdings"/>
      <w:sz w:val="20"/>
    </w:rPr>
  </w:style>
  <w:style w:type="character" w:styleId="WWCharLFO14LVL5">
    <w:name w:val="WW_CharLFO14LVL5"/>
    <w:qFormat/>
    <w:rPr>
      <w:rFonts w:ascii="Wingdings" w:hAnsi="Wingdings"/>
      <w:sz w:val="20"/>
    </w:rPr>
  </w:style>
  <w:style w:type="character" w:styleId="WWCharLFO14LVL6">
    <w:name w:val="WW_CharLFO14LVL6"/>
    <w:qFormat/>
    <w:rPr>
      <w:rFonts w:ascii="Wingdings" w:hAnsi="Wingdings"/>
      <w:sz w:val="20"/>
    </w:rPr>
  </w:style>
  <w:style w:type="character" w:styleId="WWCharLFO14LVL7">
    <w:name w:val="WW_CharLFO14LVL7"/>
    <w:qFormat/>
    <w:rPr>
      <w:rFonts w:ascii="Wingdings" w:hAnsi="Wingdings"/>
      <w:sz w:val="20"/>
    </w:rPr>
  </w:style>
  <w:style w:type="character" w:styleId="WWCharLFO14LVL8">
    <w:name w:val="WW_CharLFO14LVL8"/>
    <w:qFormat/>
    <w:rPr>
      <w:rFonts w:ascii="Wingdings" w:hAnsi="Wingdings"/>
      <w:sz w:val="20"/>
    </w:rPr>
  </w:style>
  <w:style w:type="character" w:styleId="WWCharLFO14LVL9">
    <w:name w:val="WW_CharLFO14LVL9"/>
    <w:qFormat/>
    <w:rPr>
      <w:rFonts w:ascii="Wingdings" w:hAnsi="Wingdings"/>
      <w:sz w:val="20"/>
    </w:rPr>
  </w:style>
  <w:style w:type="character" w:styleId="WWCharLFO15LVL1">
    <w:name w:val="WW_CharLFO15LVL1"/>
    <w:qFormat/>
    <w:rPr>
      <w:rFonts w:ascii="Symbol" w:hAnsi="Symbol"/>
      <w:sz w:val="20"/>
    </w:rPr>
  </w:style>
  <w:style w:type="character" w:styleId="WWCharLFO15LVL2">
    <w:name w:val="WW_CharLFO15LVL2"/>
    <w:qFormat/>
    <w:rPr>
      <w:rFonts w:ascii="Courier New" w:hAnsi="Courier New"/>
      <w:sz w:val="20"/>
    </w:rPr>
  </w:style>
  <w:style w:type="character" w:styleId="WWCharLFO15LVL3">
    <w:name w:val="WW_CharLFO15LVL3"/>
    <w:qFormat/>
    <w:rPr>
      <w:rFonts w:ascii="Wingdings" w:hAnsi="Wingdings"/>
      <w:sz w:val="20"/>
    </w:rPr>
  </w:style>
  <w:style w:type="character" w:styleId="WWCharLFO15LVL4">
    <w:name w:val="WW_CharLFO15LVL4"/>
    <w:qFormat/>
    <w:rPr>
      <w:rFonts w:ascii="Wingdings" w:hAnsi="Wingdings"/>
      <w:sz w:val="20"/>
    </w:rPr>
  </w:style>
  <w:style w:type="character" w:styleId="WWCharLFO15LVL5">
    <w:name w:val="WW_CharLFO15LVL5"/>
    <w:qFormat/>
    <w:rPr>
      <w:rFonts w:ascii="Wingdings" w:hAnsi="Wingdings"/>
      <w:sz w:val="20"/>
    </w:rPr>
  </w:style>
  <w:style w:type="character" w:styleId="WWCharLFO15LVL6">
    <w:name w:val="WW_CharLFO15LVL6"/>
    <w:qFormat/>
    <w:rPr>
      <w:rFonts w:ascii="Wingdings" w:hAnsi="Wingdings"/>
      <w:sz w:val="20"/>
    </w:rPr>
  </w:style>
  <w:style w:type="character" w:styleId="WWCharLFO15LVL7">
    <w:name w:val="WW_CharLFO15LVL7"/>
    <w:qFormat/>
    <w:rPr>
      <w:rFonts w:ascii="Wingdings" w:hAnsi="Wingdings"/>
      <w:sz w:val="20"/>
    </w:rPr>
  </w:style>
  <w:style w:type="character" w:styleId="WWCharLFO15LVL8">
    <w:name w:val="WW_CharLFO15LVL8"/>
    <w:qFormat/>
    <w:rPr>
      <w:rFonts w:ascii="Wingdings" w:hAnsi="Wingdings"/>
      <w:sz w:val="20"/>
    </w:rPr>
  </w:style>
  <w:style w:type="character" w:styleId="WWCharLFO15LVL9">
    <w:name w:val="WW_CharLFO15LVL9"/>
    <w:qFormat/>
    <w:rPr>
      <w:rFonts w:ascii="Wingdings" w:hAnsi="Wingdings"/>
      <w:sz w:val="20"/>
    </w:rPr>
  </w:style>
  <w:style w:type="character" w:styleId="WWCharLFO16LVL1">
    <w:name w:val="WW_CharLFO16LVL1"/>
    <w:qFormat/>
    <w:rPr>
      <w:rFonts w:ascii="Symbol" w:hAnsi="Symbol"/>
      <w:sz w:val="20"/>
    </w:rPr>
  </w:style>
  <w:style w:type="character" w:styleId="WWCharLFO16LVL2">
    <w:name w:val="WW_CharLFO16LVL2"/>
    <w:qFormat/>
    <w:rPr>
      <w:rFonts w:ascii="Courier New" w:hAnsi="Courier New"/>
      <w:sz w:val="20"/>
    </w:rPr>
  </w:style>
  <w:style w:type="character" w:styleId="WWCharLFO16LVL3">
    <w:name w:val="WW_CharLFO16LVL3"/>
    <w:qFormat/>
    <w:rPr>
      <w:rFonts w:ascii="Wingdings" w:hAnsi="Wingdings"/>
      <w:sz w:val="20"/>
    </w:rPr>
  </w:style>
  <w:style w:type="character" w:styleId="WWCharLFO16LVL4">
    <w:name w:val="WW_CharLFO16LVL4"/>
    <w:qFormat/>
    <w:rPr>
      <w:rFonts w:ascii="Wingdings" w:hAnsi="Wingdings"/>
      <w:sz w:val="20"/>
    </w:rPr>
  </w:style>
  <w:style w:type="character" w:styleId="WWCharLFO16LVL5">
    <w:name w:val="WW_CharLFO16LVL5"/>
    <w:qFormat/>
    <w:rPr>
      <w:rFonts w:ascii="Wingdings" w:hAnsi="Wingdings"/>
      <w:sz w:val="20"/>
    </w:rPr>
  </w:style>
  <w:style w:type="character" w:styleId="WWCharLFO16LVL6">
    <w:name w:val="WW_CharLFO16LVL6"/>
    <w:qFormat/>
    <w:rPr>
      <w:rFonts w:ascii="Wingdings" w:hAnsi="Wingdings"/>
      <w:sz w:val="20"/>
    </w:rPr>
  </w:style>
  <w:style w:type="character" w:styleId="WWCharLFO16LVL7">
    <w:name w:val="WW_CharLFO16LVL7"/>
    <w:qFormat/>
    <w:rPr>
      <w:rFonts w:ascii="Wingdings" w:hAnsi="Wingdings"/>
      <w:sz w:val="20"/>
    </w:rPr>
  </w:style>
  <w:style w:type="character" w:styleId="WWCharLFO16LVL8">
    <w:name w:val="WW_CharLFO16LVL8"/>
    <w:qFormat/>
    <w:rPr>
      <w:rFonts w:ascii="Wingdings" w:hAnsi="Wingdings"/>
      <w:sz w:val="20"/>
    </w:rPr>
  </w:style>
  <w:style w:type="character" w:styleId="WWCharLFO16LVL9">
    <w:name w:val="WW_CharLFO16LVL9"/>
    <w:qFormat/>
    <w:rPr>
      <w:rFonts w:ascii="Wingdings" w:hAnsi="Wingdings"/>
      <w:sz w:val="20"/>
    </w:rPr>
  </w:style>
  <w:style w:type="character" w:styleId="WWCharLFO17LVL1">
    <w:name w:val="WW_CharLFO17LVL1"/>
    <w:qFormat/>
    <w:rPr>
      <w:rFonts w:ascii="Symbol" w:hAnsi="Symbol"/>
      <w:sz w:val="20"/>
    </w:rPr>
  </w:style>
  <w:style w:type="character" w:styleId="WWCharLFO17LVL2">
    <w:name w:val="WW_CharLFO17LVL2"/>
    <w:qFormat/>
    <w:rPr>
      <w:rFonts w:ascii="Courier New" w:hAnsi="Courier New"/>
      <w:sz w:val="20"/>
    </w:rPr>
  </w:style>
  <w:style w:type="character" w:styleId="WWCharLFO17LVL3">
    <w:name w:val="WW_CharLFO17LVL3"/>
    <w:qFormat/>
    <w:rPr>
      <w:rFonts w:ascii="Wingdings" w:hAnsi="Wingdings"/>
      <w:sz w:val="20"/>
    </w:rPr>
  </w:style>
  <w:style w:type="character" w:styleId="WWCharLFO17LVL4">
    <w:name w:val="WW_CharLFO17LVL4"/>
    <w:qFormat/>
    <w:rPr>
      <w:rFonts w:ascii="Wingdings" w:hAnsi="Wingdings"/>
      <w:sz w:val="20"/>
    </w:rPr>
  </w:style>
  <w:style w:type="character" w:styleId="WWCharLFO17LVL5">
    <w:name w:val="WW_CharLFO17LVL5"/>
    <w:qFormat/>
    <w:rPr>
      <w:rFonts w:ascii="Wingdings" w:hAnsi="Wingdings"/>
      <w:sz w:val="20"/>
    </w:rPr>
  </w:style>
  <w:style w:type="character" w:styleId="WWCharLFO17LVL6">
    <w:name w:val="WW_CharLFO17LVL6"/>
    <w:qFormat/>
    <w:rPr>
      <w:rFonts w:ascii="Wingdings" w:hAnsi="Wingdings"/>
      <w:sz w:val="20"/>
    </w:rPr>
  </w:style>
  <w:style w:type="character" w:styleId="WWCharLFO17LVL7">
    <w:name w:val="WW_CharLFO17LVL7"/>
    <w:qFormat/>
    <w:rPr>
      <w:rFonts w:ascii="Wingdings" w:hAnsi="Wingdings"/>
      <w:sz w:val="20"/>
    </w:rPr>
  </w:style>
  <w:style w:type="character" w:styleId="WWCharLFO17LVL8">
    <w:name w:val="WW_CharLFO17LVL8"/>
    <w:qFormat/>
    <w:rPr>
      <w:rFonts w:ascii="Wingdings" w:hAnsi="Wingdings"/>
      <w:sz w:val="20"/>
    </w:rPr>
  </w:style>
  <w:style w:type="character" w:styleId="WWCharLFO17LVL9">
    <w:name w:val="WW_CharLFO17LVL9"/>
    <w:qFormat/>
    <w:rPr>
      <w:rFonts w:ascii="Wingdings" w:hAnsi="Wingdings"/>
      <w:sz w:val="20"/>
    </w:rPr>
  </w:style>
  <w:style w:type="character" w:styleId="WWCharLFO18LVL1">
    <w:name w:val="WW_CharLFO18LVL1"/>
    <w:qFormat/>
    <w:rPr>
      <w:rFonts w:ascii="Symbol" w:hAnsi="Symbol"/>
      <w:sz w:val="20"/>
    </w:rPr>
  </w:style>
  <w:style w:type="character" w:styleId="WWCharLFO18LVL2">
    <w:name w:val="WW_CharLFO18LVL2"/>
    <w:qFormat/>
    <w:rPr>
      <w:rFonts w:ascii="Courier New" w:hAnsi="Courier New"/>
      <w:sz w:val="20"/>
    </w:rPr>
  </w:style>
  <w:style w:type="character" w:styleId="WWCharLFO18LVL3">
    <w:name w:val="WW_CharLFO18LVL3"/>
    <w:qFormat/>
    <w:rPr>
      <w:rFonts w:ascii="Wingdings" w:hAnsi="Wingdings"/>
      <w:sz w:val="20"/>
    </w:rPr>
  </w:style>
  <w:style w:type="character" w:styleId="WWCharLFO18LVL4">
    <w:name w:val="WW_CharLFO18LVL4"/>
    <w:qFormat/>
    <w:rPr>
      <w:rFonts w:ascii="Wingdings" w:hAnsi="Wingdings"/>
      <w:sz w:val="20"/>
    </w:rPr>
  </w:style>
  <w:style w:type="character" w:styleId="WWCharLFO18LVL5">
    <w:name w:val="WW_CharLFO18LVL5"/>
    <w:qFormat/>
    <w:rPr>
      <w:rFonts w:ascii="Wingdings" w:hAnsi="Wingdings"/>
      <w:sz w:val="20"/>
    </w:rPr>
  </w:style>
  <w:style w:type="character" w:styleId="WWCharLFO18LVL6">
    <w:name w:val="WW_CharLFO18LVL6"/>
    <w:qFormat/>
    <w:rPr>
      <w:rFonts w:ascii="Wingdings" w:hAnsi="Wingdings"/>
      <w:sz w:val="20"/>
    </w:rPr>
  </w:style>
  <w:style w:type="character" w:styleId="WWCharLFO18LVL7">
    <w:name w:val="WW_CharLFO18LVL7"/>
    <w:qFormat/>
    <w:rPr>
      <w:rFonts w:ascii="Wingdings" w:hAnsi="Wingdings"/>
      <w:sz w:val="20"/>
    </w:rPr>
  </w:style>
  <w:style w:type="character" w:styleId="WWCharLFO18LVL8">
    <w:name w:val="WW_CharLFO18LVL8"/>
    <w:qFormat/>
    <w:rPr>
      <w:rFonts w:ascii="Wingdings" w:hAnsi="Wingdings"/>
      <w:sz w:val="20"/>
    </w:rPr>
  </w:style>
  <w:style w:type="character" w:styleId="WWCharLFO18LVL9">
    <w:name w:val="WW_CharLFO18LVL9"/>
    <w:qFormat/>
    <w:rPr>
      <w:rFonts w:ascii="Wingdings" w:hAnsi="Wingdings"/>
      <w:sz w:val="20"/>
    </w:rPr>
  </w:style>
  <w:style w:type="character" w:styleId="WWCharLFO19LVL1">
    <w:name w:val="WW_CharLFO19LVL1"/>
    <w:qFormat/>
    <w:rPr>
      <w:rFonts w:ascii="Symbol" w:hAnsi="Symbol"/>
      <w:sz w:val="20"/>
    </w:rPr>
  </w:style>
  <w:style w:type="character" w:styleId="WWCharLFO19LVL2">
    <w:name w:val="WW_CharLFO19LVL2"/>
    <w:qFormat/>
    <w:rPr>
      <w:rFonts w:ascii="Courier New" w:hAnsi="Courier New"/>
      <w:sz w:val="20"/>
    </w:rPr>
  </w:style>
  <w:style w:type="character" w:styleId="WWCharLFO19LVL3">
    <w:name w:val="WW_CharLFO19LVL3"/>
    <w:qFormat/>
    <w:rPr>
      <w:rFonts w:ascii="Wingdings" w:hAnsi="Wingdings"/>
      <w:sz w:val="20"/>
    </w:rPr>
  </w:style>
  <w:style w:type="character" w:styleId="WWCharLFO19LVL4">
    <w:name w:val="WW_CharLFO19LVL4"/>
    <w:qFormat/>
    <w:rPr>
      <w:rFonts w:ascii="Wingdings" w:hAnsi="Wingdings"/>
      <w:sz w:val="20"/>
    </w:rPr>
  </w:style>
  <w:style w:type="character" w:styleId="WWCharLFO19LVL5">
    <w:name w:val="WW_CharLFO19LVL5"/>
    <w:qFormat/>
    <w:rPr>
      <w:rFonts w:ascii="Wingdings" w:hAnsi="Wingdings"/>
      <w:sz w:val="20"/>
    </w:rPr>
  </w:style>
  <w:style w:type="character" w:styleId="WWCharLFO19LVL6">
    <w:name w:val="WW_CharLFO19LVL6"/>
    <w:qFormat/>
    <w:rPr>
      <w:rFonts w:ascii="Wingdings" w:hAnsi="Wingdings"/>
      <w:sz w:val="20"/>
    </w:rPr>
  </w:style>
  <w:style w:type="character" w:styleId="WWCharLFO19LVL7">
    <w:name w:val="WW_CharLFO19LVL7"/>
    <w:qFormat/>
    <w:rPr>
      <w:rFonts w:ascii="Wingdings" w:hAnsi="Wingdings"/>
      <w:sz w:val="20"/>
    </w:rPr>
  </w:style>
  <w:style w:type="character" w:styleId="WWCharLFO19LVL8">
    <w:name w:val="WW_CharLFO19LVL8"/>
    <w:qFormat/>
    <w:rPr>
      <w:rFonts w:ascii="Wingdings" w:hAnsi="Wingdings"/>
      <w:sz w:val="20"/>
    </w:rPr>
  </w:style>
  <w:style w:type="character" w:styleId="WWCharLFO19LVL9">
    <w:name w:val="WW_CharLFO19LVL9"/>
    <w:qFormat/>
    <w:rPr>
      <w:rFonts w:ascii="Wingdings" w:hAnsi="Wingdings"/>
      <w:sz w:val="20"/>
    </w:rPr>
  </w:style>
  <w:style w:type="character" w:styleId="WWCharLFO20LVL1">
    <w:name w:val="WW_CharLFO20LVL1"/>
    <w:qFormat/>
    <w:rPr>
      <w:rFonts w:ascii="Symbol" w:hAnsi="Symbol"/>
      <w:sz w:val="20"/>
    </w:rPr>
  </w:style>
  <w:style w:type="character" w:styleId="WWCharLFO20LVL2">
    <w:name w:val="WW_CharLFO20LVL2"/>
    <w:qFormat/>
    <w:rPr>
      <w:rFonts w:ascii="Courier New" w:hAnsi="Courier New"/>
      <w:sz w:val="20"/>
    </w:rPr>
  </w:style>
  <w:style w:type="character" w:styleId="WWCharLFO20LVL3">
    <w:name w:val="WW_CharLFO20LVL3"/>
    <w:qFormat/>
    <w:rPr>
      <w:rFonts w:ascii="Wingdings" w:hAnsi="Wingdings"/>
      <w:sz w:val="20"/>
    </w:rPr>
  </w:style>
  <w:style w:type="character" w:styleId="WWCharLFO20LVL4">
    <w:name w:val="WW_CharLFO20LVL4"/>
    <w:qFormat/>
    <w:rPr>
      <w:rFonts w:ascii="Wingdings" w:hAnsi="Wingdings"/>
      <w:sz w:val="20"/>
    </w:rPr>
  </w:style>
  <w:style w:type="character" w:styleId="WWCharLFO20LVL5">
    <w:name w:val="WW_CharLFO20LVL5"/>
    <w:qFormat/>
    <w:rPr>
      <w:rFonts w:ascii="Wingdings" w:hAnsi="Wingdings"/>
      <w:sz w:val="20"/>
    </w:rPr>
  </w:style>
  <w:style w:type="character" w:styleId="WWCharLFO20LVL6">
    <w:name w:val="WW_CharLFO20LVL6"/>
    <w:qFormat/>
    <w:rPr>
      <w:rFonts w:ascii="Wingdings" w:hAnsi="Wingdings"/>
      <w:sz w:val="20"/>
    </w:rPr>
  </w:style>
  <w:style w:type="character" w:styleId="WWCharLFO20LVL7">
    <w:name w:val="WW_CharLFO20LVL7"/>
    <w:qFormat/>
    <w:rPr>
      <w:rFonts w:ascii="Wingdings" w:hAnsi="Wingdings"/>
      <w:sz w:val="20"/>
    </w:rPr>
  </w:style>
  <w:style w:type="character" w:styleId="WWCharLFO20LVL8">
    <w:name w:val="WW_CharLFO20LVL8"/>
    <w:qFormat/>
    <w:rPr>
      <w:rFonts w:ascii="Wingdings" w:hAnsi="Wingdings"/>
      <w:sz w:val="20"/>
    </w:rPr>
  </w:style>
  <w:style w:type="character" w:styleId="WWCharLFO20LVL9">
    <w:name w:val="WW_CharLFO20LVL9"/>
    <w:qFormat/>
    <w:rPr>
      <w:rFonts w:ascii="Wingdings" w:hAnsi="Wingdings"/>
      <w:sz w:val="20"/>
    </w:rPr>
  </w:style>
  <w:style w:type="character" w:styleId="WWCharLFO21LVL1">
    <w:name w:val="WW_CharLFO21LVL1"/>
    <w:qFormat/>
    <w:rPr>
      <w:rFonts w:ascii="Symbol" w:hAnsi="Symbol"/>
      <w:sz w:val="20"/>
    </w:rPr>
  </w:style>
  <w:style w:type="character" w:styleId="WWCharLFO21LVL2">
    <w:name w:val="WW_CharLFO21LVL2"/>
    <w:qFormat/>
    <w:rPr>
      <w:rFonts w:ascii="Courier New" w:hAnsi="Courier New" w:cs="Times New Roman"/>
      <w:sz w:val="20"/>
    </w:rPr>
  </w:style>
  <w:style w:type="character" w:styleId="WWCharLFO21LVL3">
    <w:name w:val="WW_CharLFO21LVL3"/>
    <w:qFormat/>
    <w:rPr>
      <w:rFonts w:ascii="Wingdings" w:hAnsi="Wingdings"/>
      <w:sz w:val="20"/>
    </w:rPr>
  </w:style>
  <w:style w:type="character" w:styleId="WWCharLFO21LVL4">
    <w:name w:val="WW_CharLFO21LVL4"/>
    <w:qFormat/>
    <w:rPr>
      <w:rFonts w:ascii="Wingdings" w:hAnsi="Wingdings"/>
      <w:sz w:val="20"/>
    </w:rPr>
  </w:style>
  <w:style w:type="character" w:styleId="WWCharLFO21LVL5">
    <w:name w:val="WW_CharLFO21LVL5"/>
    <w:qFormat/>
    <w:rPr>
      <w:rFonts w:ascii="Wingdings" w:hAnsi="Wingdings"/>
      <w:sz w:val="20"/>
    </w:rPr>
  </w:style>
  <w:style w:type="character" w:styleId="WWCharLFO21LVL6">
    <w:name w:val="WW_CharLFO21LVL6"/>
    <w:qFormat/>
    <w:rPr>
      <w:rFonts w:ascii="Wingdings" w:hAnsi="Wingdings"/>
      <w:sz w:val="20"/>
    </w:rPr>
  </w:style>
  <w:style w:type="character" w:styleId="WWCharLFO21LVL7">
    <w:name w:val="WW_CharLFO21LVL7"/>
    <w:qFormat/>
    <w:rPr>
      <w:rFonts w:ascii="Wingdings" w:hAnsi="Wingdings"/>
      <w:sz w:val="20"/>
    </w:rPr>
  </w:style>
  <w:style w:type="character" w:styleId="WWCharLFO21LVL8">
    <w:name w:val="WW_CharLFO21LVL8"/>
    <w:qFormat/>
    <w:rPr>
      <w:rFonts w:ascii="Wingdings" w:hAnsi="Wingdings"/>
      <w:sz w:val="20"/>
    </w:rPr>
  </w:style>
  <w:style w:type="character" w:styleId="WWCharLFO21LVL9">
    <w:name w:val="WW_CharLFO21LVL9"/>
    <w:qFormat/>
    <w:rPr>
      <w:rFonts w:ascii="Wingdings" w:hAnsi="Wingdings"/>
      <w:sz w:val="20"/>
    </w:rPr>
  </w:style>
  <w:style w:type="character" w:styleId="WWCharLFO22LVL1">
    <w:name w:val="WW_CharLFO22LVL1"/>
    <w:qFormat/>
    <w:rPr>
      <w:rFonts w:ascii="Symbol" w:hAnsi="Symbol"/>
      <w:sz w:val="20"/>
    </w:rPr>
  </w:style>
  <w:style w:type="character" w:styleId="WWCharLFO22LVL2">
    <w:name w:val="WW_CharLFO22LVL2"/>
    <w:qFormat/>
    <w:rPr>
      <w:rFonts w:ascii="Courier New" w:hAnsi="Courier New"/>
      <w:sz w:val="20"/>
    </w:rPr>
  </w:style>
  <w:style w:type="character" w:styleId="WWCharLFO22LVL3">
    <w:name w:val="WW_CharLFO22LVL3"/>
    <w:qFormat/>
    <w:rPr>
      <w:rFonts w:ascii="Wingdings" w:hAnsi="Wingdings"/>
      <w:sz w:val="20"/>
    </w:rPr>
  </w:style>
  <w:style w:type="character" w:styleId="WWCharLFO22LVL4">
    <w:name w:val="WW_CharLFO22LVL4"/>
    <w:qFormat/>
    <w:rPr>
      <w:rFonts w:ascii="Wingdings" w:hAnsi="Wingdings"/>
      <w:sz w:val="20"/>
    </w:rPr>
  </w:style>
  <w:style w:type="character" w:styleId="WWCharLFO22LVL5">
    <w:name w:val="WW_CharLFO22LVL5"/>
    <w:qFormat/>
    <w:rPr>
      <w:rFonts w:ascii="Wingdings" w:hAnsi="Wingdings"/>
      <w:sz w:val="20"/>
    </w:rPr>
  </w:style>
  <w:style w:type="character" w:styleId="WWCharLFO22LVL6">
    <w:name w:val="WW_CharLFO22LVL6"/>
    <w:qFormat/>
    <w:rPr>
      <w:rFonts w:ascii="Wingdings" w:hAnsi="Wingdings"/>
      <w:sz w:val="20"/>
    </w:rPr>
  </w:style>
  <w:style w:type="character" w:styleId="WWCharLFO22LVL7">
    <w:name w:val="WW_CharLFO22LVL7"/>
    <w:qFormat/>
    <w:rPr>
      <w:rFonts w:ascii="Wingdings" w:hAnsi="Wingdings"/>
      <w:sz w:val="20"/>
    </w:rPr>
  </w:style>
  <w:style w:type="character" w:styleId="WWCharLFO22LVL8">
    <w:name w:val="WW_CharLFO22LVL8"/>
    <w:qFormat/>
    <w:rPr>
      <w:rFonts w:ascii="Wingdings" w:hAnsi="Wingdings"/>
      <w:sz w:val="20"/>
    </w:rPr>
  </w:style>
  <w:style w:type="character" w:styleId="WWCharLFO22LVL9">
    <w:name w:val="WW_CharLFO22LVL9"/>
    <w:qFormat/>
    <w:rPr>
      <w:rFonts w:ascii="Wingdings" w:hAnsi="Wingdings"/>
      <w:sz w:val="20"/>
    </w:rPr>
  </w:style>
  <w:style w:type="character" w:styleId="WWCharLFO23LVL1">
    <w:name w:val="WW_CharLFO23LVL1"/>
    <w:qFormat/>
    <w:rPr>
      <w:rFonts w:ascii="Symbol" w:hAnsi="Symbol"/>
      <w:sz w:val="20"/>
    </w:rPr>
  </w:style>
  <w:style w:type="character" w:styleId="WWCharLFO23LVL2">
    <w:name w:val="WW_CharLFO23LVL2"/>
    <w:qFormat/>
    <w:rPr>
      <w:rFonts w:ascii="Courier New" w:hAnsi="Courier New"/>
      <w:sz w:val="20"/>
    </w:rPr>
  </w:style>
  <w:style w:type="character" w:styleId="WWCharLFO23LVL3">
    <w:name w:val="WW_CharLFO23LVL3"/>
    <w:qFormat/>
    <w:rPr>
      <w:rFonts w:ascii="Wingdings" w:hAnsi="Wingdings"/>
      <w:sz w:val="20"/>
    </w:rPr>
  </w:style>
  <w:style w:type="character" w:styleId="WWCharLFO23LVL4">
    <w:name w:val="WW_CharLFO23LVL4"/>
    <w:qFormat/>
    <w:rPr>
      <w:rFonts w:ascii="Wingdings" w:hAnsi="Wingdings"/>
      <w:sz w:val="20"/>
    </w:rPr>
  </w:style>
  <w:style w:type="character" w:styleId="WWCharLFO23LVL5">
    <w:name w:val="WW_CharLFO23LVL5"/>
    <w:qFormat/>
    <w:rPr>
      <w:rFonts w:ascii="Wingdings" w:hAnsi="Wingdings"/>
      <w:sz w:val="20"/>
    </w:rPr>
  </w:style>
  <w:style w:type="character" w:styleId="WWCharLFO23LVL6">
    <w:name w:val="WW_CharLFO23LVL6"/>
    <w:qFormat/>
    <w:rPr>
      <w:rFonts w:ascii="Wingdings" w:hAnsi="Wingdings"/>
      <w:sz w:val="20"/>
    </w:rPr>
  </w:style>
  <w:style w:type="character" w:styleId="WWCharLFO23LVL7">
    <w:name w:val="WW_CharLFO23LVL7"/>
    <w:qFormat/>
    <w:rPr>
      <w:rFonts w:ascii="Wingdings" w:hAnsi="Wingdings"/>
      <w:sz w:val="20"/>
    </w:rPr>
  </w:style>
  <w:style w:type="character" w:styleId="WWCharLFO23LVL8">
    <w:name w:val="WW_CharLFO23LVL8"/>
    <w:qFormat/>
    <w:rPr>
      <w:rFonts w:ascii="Wingdings" w:hAnsi="Wingdings"/>
      <w:sz w:val="20"/>
    </w:rPr>
  </w:style>
  <w:style w:type="character" w:styleId="WWCharLFO23LVL9">
    <w:name w:val="WW_CharLFO23LVL9"/>
    <w:qFormat/>
    <w:rPr>
      <w:rFonts w:ascii="Wingdings" w:hAnsi="Wingdings"/>
      <w:sz w:val="20"/>
    </w:rPr>
  </w:style>
  <w:style w:type="character" w:styleId="WWCharLFO24LVL1">
    <w:name w:val="WW_CharLFO24LVL1"/>
    <w:qFormat/>
    <w:rPr>
      <w:rFonts w:ascii="Symbol" w:hAnsi="Symbol"/>
      <w:sz w:val="20"/>
    </w:rPr>
  </w:style>
  <w:style w:type="character" w:styleId="WWCharLFO24LVL2">
    <w:name w:val="WW_CharLFO24LVL2"/>
    <w:qFormat/>
    <w:rPr>
      <w:rFonts w:ascii="Courier New" w:hAnsi="Courier New"/>
      <w:sz w:val="20"/>
    </w:rPr>
  </w:style>
  <w:style w:type="character" w:styleId="WWCharLFO24LVL3">
    <w:name w:val="WW_CharLFO24LVL3"/>
    <w:qFormat/>
    <w:rPr>
      <w:rFonts w:ascii="Wingdings" w:hAnsi="Wingdings"/>
      <w:sz w:val="20"/>
    </w:rPr>
  </w:style>
  <w:style w:type="character" w:styleId="WWCharLFO24LVL4">
    <w:name w:val="WW_CharLFO24LVL4"/>
    <w:qFormat/>
    <w:rPr>
      <w:rFonts w:ascii="Wingdings" w:hAnsi="Wingdings"/>
      <w:sz w:val="20"/>
    </w:rPr>
  </w:style>
  <w:style w:type="character" w:styleId="WWCharLFO24LVL5">
    <w:name w:val="WW_CharLFO24LVL5"/>
    <w:qFormat/>
    <w:rPr>
      <w:rFonts w:ascii="Wingdings" w:hAnsi="Wingdings"/>
      <w:sz w:val="20"/>
    </w:rPr>
  </w:style>
  <w:style w:type="character" w:styleId="WWCharLFO24LVL6">
    <w:name w:val="WW_CharLFO24LVL6"/>
    <w:qFormat/>
    <w:rPr>
      <w:rFonts w:ascii="Wingdings" w:hAnsi="Wingdings"/>
      <w:sz w:val="20"/>
    </w:rPr>
  </w:style>
  <w:style w:type="character" w:styleId="WWCharLFO24LVL7">
    <w:name w:val="WW_CharLFO24LVL7"/>
    <w:qFormat/>
    <w:rPr>
      <w:rFonts w:ascii="Wingdings" w:hAnsi="Wingdings"/>
      <w:sz w:val="20"/>
    </w:rPr>
  </w:style>
  <w:style w:type="character" w:styleId="WWCharLFO24LVL8">
    <w:name w:val="WW_CharLFO24LVL8"/>
    <w:qFormat/>
    <w:rPr>
      <w:rFonts w:ascii="Wingdings" w:hAnsi="Wingdings"/>
      <w:sz w:val="20"/>
    </w:rPr>
  </w:style>
  <w:style w:type="character" w:styleId="WWCharLFO24LVL9">
    <w:name w:val="WW_CharLFO24LVL9"/>
    <w:qFormat/>
    <w:rPr>
      <w:rFonts w:ascii="Wingdings" w:hAnsi="Wingdings"/>
      <w:sz w:val="20"/>
    </w:rPr>
  </w:style>
  <w:style w:type="character" w:styleId="WWCharLFO25LVL1">
    <w:name w:val="WW_CharLFO25LVL1"/>
    <w:qFormat/>
    <w:rPr>
      <w:rFonts w:ascii="Symbol" w:hAnsi="Symbol"/>
      <w:sz w:val="20"/>
    </w:rPr>
  </w:style>
  <w:style w:type="character" w:styleId="WWCharLFO25LVL2">
    <w:name w:val="WW_CharLFO25LVL2"/>
    <w:qFormat/>
    <w:rPr>
      <w:rFonts w:ascii="Courier New" w:hAnsi="Courier New"/>
      <w:sz w:val="20"/>
    </w:rPr>
  </w:style>
  <w:style w:type="character" w:styleId="WWCharLFO25LVL3">
    <w:name w:val="WW_CharLFO25LVL3"/>
    <w:qFormat/>
    <w:rPr>
      <w:rFonts w:ascii="Wingdings" w:hAnsi="Wingdings"/>
      <w:sz w:val="20"/>
    </w:rPr>
  </w:style>
  <w:style w:type="character" w:styleId="WWCharLFO25LVL4">
    <w:name w:val="WW_CharLFO25LVL4"/>
    <w:qFormat/>
    <w:rPr>
      <w:rFonts w:ascii="Wingdings" w:hAnsi="Wingdings"/>
      <w:sz w:val="20"/>
    </w:rPr>
  </w:style>
  <w:style w:type="character" w:styleId="WWCharLFO25LVL5">
    <w:name w:val="WW_CharLFO25LVL5"/>
    <w:qFormat/>
    <w:rPr>
      <w:rFonts w:ascii="Wingdings" w:hAnsi="Wingdings"/>
      <w:sz w:val="20"/>
    </w:rPr>
  </w:style>
  <w:style w:type="character" w:styleId="WWCharLFO25LVL6">
    <w:name w:val="WW_CharLFO25LVL6"/>
    <w:qFormat/>
    <w:rPr>
      <w:rFonts w:ascii="Wingdings" w:hAnsi="Wingdings"/>
      <w:sz w:val="20"/>
    </w:rPr>
  </w:style>
  <w:style w:type="character" w:styleId="WWCharLFO25LVL7">
    <w:name w:val="WW_CharLFO25LVL7"/>
    <w:qFormat/>
    <w:rPr>
      <w:rFonts w:ascii="Wingdings" w:hAnsi="Wingdings"/>
      <w:sz w:val="20"/>
    </w:rPr>
  </w:style>
  <w:style w:type="character" w:styleId="WWCharLFO25LVL8">
    <w:name w:val="WW_CharLFO25LVL8"/>
    <w:qFormat/>
    <w:rPr>
      <w:rFonts w:ascii="Wingdings" w:hAnsi="Wingdings"/>
      <w:sz w:val="20"/>
    </w:rPr>
  </w:style>
  <w:style w:type="character" w:styleId="WWCharLFO25LVL9">
    <w:name w:val="WW_CharLFO25LVL9"/>
    <w:qFormat/>
    <w:rPr>
      <w:rFonts w:ascii="Wingdings" w:hAnsi="Wingdings"/>
      <w:sz w:val="20"/>
    </w:rPr>
  </w:style>
  <w:style w:type="character" w:styleId="WWCharLFO26LVL1">
    <w:name w:val="WW_CharLFO26LVL1"/>
    <w:qFormat/>
    <w:rPr>
      <w:rFonts w:ascii="Symbol" w:hAnsi="Symbol"/>
      <w:sz w:val="20"/>
    </w:rPr>
  </w:style>
  <w:style w:type="character" w:styleId="WWCharLFO26LVL2">
    <w:name w:val="WW_CharLFO26LVL2"/>
    <w:qFormat/>
    <w:rPr>
      <w:rFonts w:ascii="Courier New" w:hAnsi="Courier New"/>
      <w:sz w:val="20"/>
    </w:rPr>
  </w:style>
  <w:style w:type="character" w:styleId="WWCharLFO26LVL3">
    <w:name w:val="WW_CharLFO26LVL3"/>
    <w:qFormat/>
    <w:rPr>
      <w:rFonts w:ascii="Wingdings" w:hAnsi="Wingdings"/>
      <w:sz w:val="20"/>
    </w:rPr>
  </w:style>
  <w:style w:type="character" w:styleId="WWCharLFO26LVL4">
    <w:name w:val="WW_CharLFO26LVL4"/>
    <w:qFormat/>
    <w:rPr>
      <w:rFonts w:ascii="Wingdings" w:hAnsi="Wingdings"/>
      <w:sz w:val="20"/>
    </w:rPr>
  </w:style>
  <w:style w:type="character" w:styleId="WWCharLFO26LVL5">
    <w:name w:val="WW_CharLFO26LVL5"/>
    <w:qFormat/>
    <w:rPr>
      <w:rFonts w:ascii="Wingdings" w:hAnsi="Wingdings"/>
      <w:sz w:val="20"/>
    </w:rPr>
  </w:style>
  <w:style w:type="character" w:styleId="WWCharLFO26LVL6">
    <w:name w:val="WW_CharLFO26LVL6"/>
    <w:qFormat/>
    <w:rPr>
      <w:rFonts w:ascii="Wingdings" w:hAnsi="Wingdings"/>
      <w:sz w:val="20"/>
    </w:rPr>
  </w:style>
  <w:style w:type="character" w:styleId="WWCharLFO26LVL7">
    <w:name w:val="WW_CharLFO26LVL7"/>
    <w:qFormat/>
    <w:rPr>
      <w:rFonts w:ascii="Wingdings" w:hAnsi="Wingdings"/>
      <w:sz w:val="20"/>
    </w:rPr>
  </w:style>
  <w:style w:type="character" w:styleId="WWCharLFO26LVL8">
    <w:name w:val="WW_CharLFO26LVL8"/>
    <w:qFormat/>
    <w:rPr>
      <w:rFonts w:ascii="Wingdings" w:hAnsi="Wingdings"/>
      <w:sz w:val="20"/>
    </w:rPr>
  </w:style>
  <w:style w:type="character" w:styleId="WWCharLFO26LVL9">
    <w:name w:val="WW_CharLFO26LVL9"/>
    <w:qFormat/>
    <w:rPr>
      <w:rFonts w:ascii="Wingdings" w:hAnsi="Wingdings"/>
      <w:sz w:val="20"/>
    </w:rPr>
  </w:style>
  <w:style w:type="character" w:styleId="WWCharLFO27LVL1">
    <w:name w:val="WW_CharLFO27LVL1"/>
    <w:qFormat/>
    <w:rPr>
      <w:rFonts w:ascii="Symbol" w:hAnsi="Symbol"/>
      <w:sz w:val="20"/>
    </w:rPr>
  </w:style>
  <w:style w:type="character" w:styleId="WWCharLFO27LVL2">
    <w:name w:val="WW_CharLFO27LVL2"/>
    <w:qFormat/>
    <w:rPr>
      <w:rFonts w:ascii="Courier New" w:hAnsi="Courier New"/>
      <w:sz w:val="20"/>
    </w:rPr>
  </w:style>
  <w:style w:type="character" w:styleId="WWCharLFO27LVL3">
    <w:name w:val="WW_CharLFO27LVL3"/>
    <w:qFormat/>
    <w:rPr>
      <w:rFonts w:ascii="Wingdings" w:hAnsi="Wingdings"/>
      <w:sz w:val="20"/>
    </w:rPr>
  </w:style>
  <w:style w:type="character" w:styleId="WWCharLFO27LVL4">
    <w:name w:val="WW_CharLFO27LVL4"/>
    <w:qFormat/>
    <w:rPr>
      <w:rFonts w:ascii="Wingdings" w:hAnsi="Wingdings"/>
      <w:sz w:val="20"/>
    </w:rPr>
  </w:style>
  <w:style w:type="character" w:styleId="WWCharLFO27LVL5">
    <w:name w:val="WW_CharLFO27LVL5"/>
    <w:qFormat/>
    <w:rPr>
      <w:rFonts w:ascii="Wingdings" w:hAnsi="Wingdings"/>
      <w:sz w:val="20"/>
    </w:rPr>
  </w:style>
  <w:style w:type="character" w:styleId="WWCharLFO27LVL6">
    <w:name w:val="WW_CharLFO27LVL6"/>
    <w:qFormat/>
    <w:rPr>
      <w:rFonts w:ascii="Wingdings" w:hAnsi="Wingdings"/>
      <w:sz w:val="20"/>
    </w:rPr>
  </w:style>
  <w:style w:type="character" w:styleId="WWCharLFO27LVL7">
    <w:name w:val="WW_CharLFO27LVL7"/>
    <w:qFormat/>
    <w:rPr>
      <w:rFonts w:ascii="Wingdings" w:hAnsi="Wingdings"/>
      <w:sz w:val="20"/>
    </w:rPr>
  </w:style>
  <w:style w:type="character" w:styleId="WWCharLFO27LVL8">
    <w:name w:val="WW_CharLFO27LVL8"/>
    <w:qFormat/>
    <w:rPr>
      <w:rFonts w:ascii="Wingdings" w:hAnsi="Wingdings"/>
      <w:sz w:val="20"/>
    </w:rPr>
  </w:style>
  <w:style w:type="character" w:styleId="WWCharLFO27LVL9">
    <w:name w:val="WW_CharLFO27LVL9"/>
    <w:qFormat/>
    <w:rPr>
      <w:rFonts w:ascii="Wingdings" w:hAnsi="Wingdings"/>
      <w:sz w:val="20"/>
    </w:rPr>
  </w:style>
  <w:style w:type="character" w:styleId="WWCharLFO28LVL1">
    <w:name w:val="WW_CharLFO28LVL1"/>
    <w:qFormat/>
    <w:rPr>
      <w:rFonts w:ascii="Symbol" w:hAnsi="Symbol"/>
      <w:sz w:val="20"/>
    </w:rPr>
  </w:style>
  <w:style w:type="character" w:styleId="WWCharLFO28LVL2">
    <w:name w:val="WW_CharLFO28LVL2"/>
    <w:qFormat/>
    <w:rPr>
      <w:rFonts w:ascii="Courier New" w:hAnsi="Courier New"/>
      <w:sz w:val="20"/>
    </w:rPr>
  </w:style>
  <w:style w:type="character" w:styleId="WWCharLFO28LVL3">
    <w:name w:val="WW_CharLFO28LVL3"/>
    <w:qFormat/>
    <w:rPr>
      <w:rFonts w:ascii="Wingdings" w:hAnsi="Wingdings"/>
      <w:sz w:val="20"/>
    </w:rPr>
  </w:style>
  <w:style w:type="character" w:styleId="WWCharLFO28LVL4">
    <w:name w:val="WW_CharLFO28LVL4"/>
    <w:qFormat/>
    <w:rPr>
      <w:rFonts w:ascii="Wingdings" w:hAnsi="Wingdings"/>
      <w:sz w:val="20"/>
    </w:rPr>
  </w:style>
  <w:style w:type="character" w:styleId="WWCharLFO28LVL5">
    <w:name w:val="WW_CharLFO28LVL5"/>
    <w:qFormat/>
    <w:rPr>
      <w:rFonts w:ascii="Wingdings" w:hAnsi="Wingdings"/>
      <w:sz w:val="20"/>
    </w:rPr>
  </w:style>
  <w:style w:type="character" w:styleId="WWCharLFO28LVL6">
    <w:name w:val="WW_CharLFO28LVL6"/>
    <w:qFormat/>
    <w:rPr>
      <w:rFonts w:ascii="Wingdings" w:hAnsi="Wingdings"/>
      <w:sz w:val="20"/>
    </w:rPr>
  </w:style>
  <w:style w:type="character" w:styleId="WWCharLFO28LVL7">
    <w:name w:val="WW_CharLFO28LVL7"/>
    <w:qFormat/>
    <w:rPr>
      <w:rFonts w:ascii="Wingdings" w:hAnsi="Wingdings"/>
      <w:sz w:val="20"/>
    </w:rPr>
  </w:style>
  <w:style w:type="character" w:styleId="WWCharLFO28LVL8">
    <w:name w:val="WW_CharLFO28LVL8"/>
    <w:qFormat/>
    <w:rPr>
      <w:rFonts w:ascii="Wingdings" w:hAnsi="Wingdings"/>
      <w:sz w:val="20"/>
    </w:rPr>
  </w:style>
  <w:style w:type="character" w:styleId="WWCharLFO28LVL9">
    <w:name w:val="WW_CharLFO28LVL9"/>
    <w:qFormat/>
    <w:rPr>
      <w:rFonts w:ascii="Wingdings" w:hAnsi="Wingdings"/>
      <w:sz w:val="20"/>
    </w:rPr>
  </w:style>
  <w:style w:type="character" w:styleId="WWCharLFO29LVL1">
    <w:name w:val="WW_CharLFO29LVL1"/>
    <w:qFormat/>
    <w:rPr>
      <w:rFonts w:ascii="Symbol" w:hAnsi="Symbol"/>
      <w:sz w:val="20"/>
    </w:rPr>
  </w:style>
  <w:style w:type="character" w:styleId="WWCharLFO29LVL2">
    <w:name w:val="WW_CharLFO29LVL2"/>
    <w:qFormat/>
    <w:rPr>
      <w:rFonts w:ascii="Courier New" w:hAnsi="Courier New"/>
      <w:sz w:val="20"/>
    </w:rPr>
  </w:style>
  <w:style w:type="character" w:styleId="WWCharLFO29LVL3">
    <w:name w:val="WW_CharLFO29LVL3"/>
    <w:qFormat/>
    <w:rPr>
      <w:rFonts w:ascii="Wingdings" w:hAnsi="Wingdings"/>
      <w:sz w:val="20"/>
    </w:rPr>
  </w:style>
  <w:style w:type="character" w:styleId="WWCharLFO29LVL4">
    <w:name w:val="WW_CharLFO29LVL4"/>
    <w:qFormat/>
    <w:rPr>
      <w:rFonts w:ascii="Wingdings" w:hAnsi="Wingdings"/>
      <w:sz w:val="20"/>
    </w:rPr>
  </w:style>
  <w:style w:type="character" w:styleId="WWCharLFO29LVL5">
    <w:name w:val="WW_CharLFO29LVL5"/>
    <w:qFormat/>
    <w:rPr>
      <w:rFonts w:ascii="Wingdings" w:hAnsi="Wingdings"/>
      <w:sz w:val="20"/>
    </w:rPr>
  </w:style>
  <w:style w:type="character" w:styleId="WWCharLFO29LVL6">
    <w:name w:val="WW_CharLFO29LVL6"/>
    <w:qFormat/>
    <w:rPr>
      <w:rFonts w:ascii="Wingdings" w:hAnsi="Wingdings"/>
      <w:sz w:val="20"/>
    </w:rPr>
  </w:style>
  <w:style w:type="character" w:styleId="WWCharLFO29LVL7">
    <w:name w:val="WW_CharLFO29LVL7"/>
    <w:qFormat/>
    <w:rPr>
      <w:rFonts w:ascii="Wingdings" w:hAnsi="Wingdings"/>
      <w:sz w:val="20"/>
    </w:rPr>
  </w:style>
  <w:style w:type="character" w:styleId="WWCharLFO29LVL8">
    <w:name w:val="WW_CharLFO29LVL8"/>
    <w:qFormat/>
    <w:rPr>
      <w:rFonts w:ascii="Wingdings" w:hAnsi="Wingdings"/>
      <w:sz w:val="20"/>
    </w:rPr>
  </w:style>
  <w:style w:type="character" w:styleId="WWCharLFO29LVL9">
    <w:name w:val="WW_CharLFO29LVL9"/>
    <w:qFormat/>
    <w:rPr>
      <w:rFonts w:ascii="Wingdings" w:hAnsi="Wingdings"/>
      <w:sz w:val="20"/>
    </w:rPr>
  </w:style>
  <w:style w:type="character" w:styleId="WWCharLFO30LVL1">
    <w:name w:val="WW_CharLFO30LVL1"/>
    <w:qFormat/>
    <w:rPr>
      <w:rFonts w:ascii="Symbol" w:hAnsi="Symbol"/>
      <w:sz w:val="20"/>
    </w:rPr>
  </w:style>
  <w:style w:type="character" w:styleId="WWCharLFO30LVL2">
    <w:name w:val="WW_CharLFO30LVL2"/>
    <w:qFormat/>
    <w:rPr>
      <w:rFonts w:ascii="Courier New" w:hAnsi="Courier New"/>
      <w:sz w:val="20"/>
    </w:rPr>
  </w:style>
  <w:style w:type="character" w:styleId="WWCharLFO30LVL3">
    <w:name w:val="WW_CharLFO30LVL3"/>
    <w:qFormat/>
    <w:rPr>
      <w:rFonts w:ascii="Wingdings" w:hAnsi="Wingdings"/>
      <w:sz w:val="20"/>
    </w:rPr>
  </w:style>
  <w:style w:type="character" w:styleId="WWCharLFO30LVL4">
    <w:name w:val="WW_CharLFO30LVL4"/>
    <w:qFormat/>
    <w:rPr>
      <w:rFonts w:ascii="Wingdings" w:hAnsi="Wingdings"/>
      <w:sz w:val="20"/>
    </w:rPr>
  </w:style>
  <w:style w:type="character" w:styleId="WWCharLFO30LVL5">
    <w:name w:val="WW_CharLFO30LVL5"/>
    <w:qFormat/>
    <w:rPr>
      <w:rFonts w:ascii="Wingdings" w:hAnsi="Wingdings"/>
      <w:sz w:val="20"/>
    </w:rPr>
  </w:style>
  <w:style w:type="character" w:styleId="WWCharLFO30LVL6">
    <w:name w:val="WW_CharLFO30LVL6"/>
    <w:qFormat/>
    <w:rPr>
      <w:rFonts w:ascii="Wingdings" w:hAnsi="Wingdings"/>
      <w:sz w:val="20"/>
    </w:rPr>
  </w:style>
  <w:style w:type="character" w:styleId="WWCharLFO30LVL7">
    <w:name w:val="WW_CharLFO30LVL7"/>
    <w:qFormat/>
    <w:rPr>
      <w:rFonts w:ascii="Wingdings" w:hAnsi="Wingdings"/>
      <w:sz w:val="20"/>
    </w:rPr>
  </w:style>
  <w:style w:type="character" w:styleId="WWCharLFO30LVL8">
    <w:name w:val="WW_CharLFO30LVL8"/>
    <w:qFormat/>
    <w:rPr>
      <w:rFonts w:ascii="Wingdings" w:hAnsi="Wingdings"/>
      <w:sz w:val="20"/>
    </w:rPr>
  </w:style>
  <w:style w:type="character" w:styleId="WWCharLFO30LVL9">
    <w:name w:val="WW_CharLFO30LVL9"/>
    <w:qFormat/>
    <w:rPr>
      <w:rFonts w:ascii="Wingdings" w:hAnsi="Wingdings"/>
      <w:sz w:val="20"/>
    </w:rPr>
  </w:style>
  <w:style w:type="character" w:styleId="WWCharLFO31LVL1">
    <w:name w:val="WW_CharLFO31LVL1"/>
    <w:qFormat/>
    <w:rPr>
      <w:rFonts w:ascii="Symbol" w:hAnsi="Symbol"/>
      <w:sz w:val="20"/>
    </w:rPr>
  </w:style>
  <w:style w:type="character" w:styleId="WWCharLFO31LVL2">
    <w:name w:val="WW_CharLFO31LVL2"/>
    <w:qFormat/>
    <w:rPr>
      <w:rFonts w:ascii="Courier New" w:hAnsi="Courier New"/>
      <w:sz w:val="20"/>
    </w:rPr>
  </w:style>
  <w:style w:type="character" w:styleId="WWCharLFO31LVL3">
    <w:name w:val="WW_CharLFO31LVL3"/>
    <w:qFormat/>
    <w:rPr>
      <w:rFonts w:ascii="Wingdings" w:hAnsi="Wingdings"/>
      <w:sz w:val="20"/>
    </w:rPr>
  </w:style>
  <w:style w:type="character" w:styleId="WWCharLFO31LVL4">
    <w:name w:val="WW_CharLFO31LVL4"/>
    <w:qFormat/>
    <w:rPr>
      <w:rFonts w:ascii="Wingdings" w:hAnsi="Wingdings"/>
      <w:sz w:val="20"/>
    </w:rPr>
  </w:style>
  <w:style w:type="character" w:styleId="WWCharLFO31LVL5">
    <w:name w:val="WW_CharLFO31LVL5"/>
    <w:qFormat/>
    <w:rPr>
      <w:rFonts w:ascii="Wingdings" w:hAnsi="Wingdings"/>
      <w:sz w:val="20"/>
    </w:rPr>
  </w:style>
  <w:style w:type="character" w:styleId="WWCharLFO31LVL6">
    <w:name w:val="WW_CharLFO31LVL6"/>
    <w:qFormat/>
    <w:rPr>
      <w:rFonts w:ascii="Wingdings" w:hAnsi="Wingdings"/>
      <w:sz w:val="20"/>
    </w:rPr>
  </w:style>
  <w:style w:type="character" w:styleId="WWCharLFO31LVL7">
    <w:name w:val="WW_CharLFO31LVL7"/>
    <w:qFormat/>
    <w:rPr>
      <w:rFonts w:ascii="Wingdings" w:hAnsi="Wingdings"/>
      <w:sz w:val="20"/>
    </w:rPr>
  </w:style>
  <w:style w:type="character" w:styleId="WWCharLFO31LVL8">
    <w:name w:val="WW_CharLFO31LVL8"/>
    <w:qFormat/>
    <w:rPr>
      <w:rFonts w:ascii="Wingdings" w:hAnsi="Wingdings"/>
      <w:sz w:val="20"/>
    </w:rPr>
  </w:style>
  <w:style w:type="character" w:styleId="WWCharLFO31LVL9">
    <w:name w:val="WW_CharLFO31LVL9"/>
    <w:qFormat/>
    <w:rPr>
      <w:rFonts w:ascii="Wingdings" w:hAnsi="Wingdings"/>
      <w:sz w:val="20"/>
    </w:rPr>
  </w:style>
  <w:style w:type="character" w:styleId="WWCharLFO32LVL1">
    <w:name w:val="WW_CharLFO32LVL1"/>
    <w:qFormat/>
    <w:rPr>
      <w:rFonts w:ascii="Symbol" w:hAnsi="Symbol"/>
      <w:sz w:val="20"/>
    </w:rPr>
  </w:style>
  <w:style w:type="character" w:styleId="WWCharLFO32LVL2">
    <w:name w:val="WW_CharLFO32LVL2"/>
    <w:qFormat/>
    <w:rPr>
      <w:rFonts w:ascii="Courier New" w:hAnsi="Courier New"/>
      <w:sz w:val="20"/>
    </w:rPr>
  </w:style>
  <w:style w:type="character" w:styleId="WWCharLFO32LVL3">
    <w:name w:val="WW_CharLFO32LVL3"/>
    <w:qFormat/>
    <w:rPr>
      <w:rFonts w:ascii="Wingdings" w:hAnsi="Wingdings"/>
      <w:sz w:val="20"/>
    </w:rPr>
  </w:style>
  <w:style w:type="character" w:styleId="WWCharLFO32LVL4">
    <w:name w:val="WW_CharLFO32LVL4"/>
    <w:qFormat/>
    <w:rPr>
      <w:rFonts w:ascii="Wingdings" w:hAnsi="Wingdings"/>
      <w:sz w:val="20"/>
    </w:rPr>
  </w:style>
  <w:style w:type="character" w:styleId="WWCharLFO32LVL5">
    <w:name w:val="WW_CharLFO32LVL5"/>
    <w:qFormat/>
    <w:rPr>
      <w:rFonts w:ascii="Wingdings" w:hAnsi="Wingdings"/>
      <w:sz w:val="20"/>
    </w:rPr>
  </w:style>
  <w:style w:type="character" w:styleId="WWCharLFO32LVL6">
    <w:name w:val="WW_CharLFO32LVL6"/>
    <w:qFormat/>
    <w:rPr>
      <w:rFonts w:ascii="Wingdings" w:hAnsi="Wingdings"/>
      <w:sz w:val="20"/>
    </w:rPr>
  </w:style>
  <w:style w:type="character" w:styleId="WWCharLFO32LVL7">
    <w:name w:val="WW_CharLFO32LVL7"/>
    <w:qFormat/>
    <w:rPr>
      <w:rFonts w:ascii="Wingdings" w:hAnsi="Wingdings"/>
      <w:sz w:val="20"/>
    </w:rPr>
  </w:style>
  <w:style w:type="character" w:styleId="WWCharLFO32LVL8">
    <w:name w:val="WW_CharLFO32LVL8"/>
    <w:qFormat/>
    <w:rPr>
      <w:rFonts w:ascii="Wingdings" w:hAnsi="Wingdings"/>
      <w:sz w:val="20"/>
    </w:rPr>
  </w:style>
  <w:style w:type="character" w:styleId="WWCharLFO32LVL9">
    <w:name w:val="WW_CharLFO32LVL9"/>
    <w:qFormat/>
    <w:rPr>
      <w:rFonts w:ascii="Wingdings" w:hAnsi="Wingdings"/>
      <w:sz w:val="20"/>
    </w:rPr>
  </w:style>
  <w:style w:type="character" w:styleId="WWCharLFO33LVL1">
    <w:name w:val="WW_CharLFO33LVL1"/>
    <w:qFormat/>
    <w:rPr>
      <w:rFonts w:ascii="Symbol" w:hAnsi="Symbol"/>
      <w:sz w:val="20"/>
    </w:rPr>
  </w:style>
  <w:style w:type="character" w:styleId="WWCharLFO33LVL2">
    <w:name w:val="WW_CharLFO33LVL2"/>
    <w:qFormat/>
    <w:rPr>
      <w:rFonts w:ascii="Courier New" w:hAnsi="Courier New"/>
      <w:sz w:val="20"/>
    </w:rPr>
  </w:style>
  <w:style w:type="character" w:styleId="WWCharLFO33LVL3">
    <w:name w:val="WW_CharLFO33LVL3"/>
    <w:qFormat/>
    <w:rPr>
      <w:rFonts w:ascii="Wingdings" w:hAnsi="Wingdings"/>
      <w:sz w:val="20"/>
    </w:rPr>
  </w:style>
  <w:style w:type="character" w:styleId="WWCharLFO33LVL4">
    <w:name w:val="WW_CharLFO33LVL4"/>
    <w:qFormat/>
    <w:rPr>
      <w:rFonts w:ascii="Wingdings" w:hAnsi="Wingdings"/>
      <w:sz w:val="20"/>
    </w:rPr>
  </w:style>
  <w:style w:type="character" w:styleId="WWCharLFO33LVL5">
    <w:name w:val="WW_CharLFO33LVL5"/>
    <w:qFormat/>
    <w:rPr>
      <w:rFonts w:ascii="Wingdings" w:hAnsi="Wingdings"/>
      <w:sz w:val="20"/>
    </w:rPr>
  </w:style>
  <w:style w:type="character" w:styleId="WWCharLFO33LVL6">
    <w:name w:val="WW_CharLFO33LVL6"/>
    <w:qFormat/>
    <w:rPr>
      <w:rFonts w:ascii="Wingdings" w:hAnsi="Wingdings"/>
      <w:sz w:val="20"/>
    </w:rPr>
  </w:style>
  <w:style w:type="character" w:styleId="WWCharLFO33LVL7">
    <w:name w:val="WW_CharLFO33LVL7"/>
    <w:qFormat/>
    <w:rPr>
      <w:rFonts w:ascii="Wingdings" w:hAnsi="Wingdings"/>
      <w:sz w:val="20"/>
    </w:rPr>
  </w:style>
  <w:style w:type="character" w:styleId="WWCharLFO33LVL8">
    <w:name w:val="WW_CharLFO33LVL8"/>
    <w:qFormat/>
    <w:rPr>
      <w:rFonts w:ascii="Wingdings" w:hAnsi="Wingdings"/>
      <w:sz w:val="20"/>
    </w:rPr>
  </w:style>
  <w:style w:type="character" w:styleId="WWCharLFO33LVL9">
    <w:name w:val="WW_CharLFO33LVL9"/>
    <w:qFormat/>
    <w:rPr>
      <w:rFonts w:ascii="Wingdings" w:hAnsi="Wingdings"/>
      <w:sz w:val="20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suppressAutoHyphens w:val="true"/>
      <w:jc w:val="center"/>
    </w:pPr>
    <w:rPr>
      <w:b/>
      <w:bCs/>
      <w:sz w:val="56"/>
      <w:szCs w:val="56"/>
    </w:rPr>
  </w:style>
  <w:style w:type="paragraph" w:styleId="Cuerpodetexto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before="0" w:after="200" w:lineRule="auto" w:line="240"/>
      <w:jc w:val="both"/>
    </w:pPr>
    <w:rPr>
      <w:rFonts w:ascii="Calibri" w:hAnsi="Calibri" w:eastAsia="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2"/>
      <w:sz w:val="22"/>
      <w:szCs w:val="24"/>
      <w:u w:val="none"/>
      <w:vertAlign w:val="baseline"/>
      <w:em w:val="none"/>
      <w:lang w:val="es-ES" w:eastAsia="zh-CN" w:bidi="hi-IN"/>
    </w:rPr>
  </w:style>
  <w:style w:type="paragraph" w:styleId="Lista">
    <w:name w:val="List"/>
    <w:basedOn w:val="Cuerpodetexto"/>
    <w:pPr>
      <w:suppressAutoHyphens w:val="true"/>
    </w:pPr>
    <w:rPr/>
  </w:style>
  <w:style w:type="paragraph" w:styleId="Descripcin">
    <w:name w:val="Descripció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ita">
    <w:name w:val="Cita"/>
    <w:basedOn w:val="Normal"/>
    <w:qFormat/>
    <w:pPr>
      <w:tabs>
        <w:tab w:val="clear" w:pos="737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uerpode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Encabezado">
    <w:name w:val="Encabezado"/>
    <w:basedOn w:val="Normal"/>
    <w:qFormat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Cabeceraypie">
    <w:name w:val="Cabecera y pie"/>
    <w:basedOn w:val="Normal"/>
    <w:qFormat/>
    <w:pPr>
      <w:suppressLineNumbers/>
      <w:tabs>
        <w:tab w:val="clear" w:pos="737"/>
        <w:tab w:val="center" w:pos="4819" w:leader="none"/>
        <w:tab w:val="right" w:pos="9638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737"/>
        <w:tab w:val="center" w:pos="4819" w:leader="none"/>
        <w:tab w:val="right" w:pos="9639" w:leader="none"/>
      </w:tabs>
      <w:suppressAutoHyphens w:val="true"/>
    </w:pPr>
    <w:rPr/>
  </w:style>
  <w:style w:type="paragraph" w:styleId="Imagencorporativa">
    <w:name w:val="Imagen corporativa"/>
    <w:basedOn w:val="Normal"/>
    <w:qFormat/>
    <w:pPr>
      <w:tabs>
        <w:tab w:val="clear" w:pos="737"/>
        <w:tab w:val="left" w:pos="2811" w:leader="none"/>
      </w:tabs>
      <w:suppressAutoHyphens w:val="true"/>
      <w:spacing w:before="0" w:after="320"/>
      <w:ind w:left="1191" w:hanging="0"/>
      <w:jc w:val="both"/>
    </w:pPr>
    <w:rPr>
      <w:rFonts w:ascii="Arial" w:hAnsi="Arial" w:eastAsia="Arial" w:cs="Arial"/>
      <w:b/>
      <w:sz w:val="22"/>
      <w:szCs w:val="22"/>
    </w:rPr>
  </w:style>
  <w:style w:type="paragraph" w:styleId="Textodeglobo">
    <w:name w:val="Texto de globo"/>
    <w:basedOn w:val="Normal1"/>
    <w:qFormat/>
    <w:pPr>
      <w:suppressAutoHyphens w:val="true"/>
    </w:pPr>
    <w:rPr>
      <w:rFonts w:ascii="Segoe UI" w:hAnsi="Segoe UI" w:cs="Mangal"/>
      <w:sz w:val="18"/>
      <w:szCs w:val="16"/>
    </w:rPr>
  </w:style>
  <w:style w:type="paragraph" w:styleId="Prrafodelista">
    <w:name w:val="Párrafo de lista"/>
    <w:basedOn w:val="Normal1"/>
    <w:qFormat/>
    <w:pPr>
      <w:tabs>
        <w:tab w:val="clear" w:pos="737"/>
      </w:tabs>
      <w:suppressAutoHyphens w:val="true"/>
      <w:spacing w:before="0" w:after="0"/>
      <w:ind w:left="720" w:hanging="0"/>
      <w:contextualSpacing/>
    </w:pPr>
    <w:rPr>
      <w:rFonts w:cs="Mangal"/>
    </w:rPr>
  </w:style>
  <w:style w:type="paragraph" w:styleId="NormalWeb">
    <w:name w:val="Normal (Web)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Destacadointerior">
    <w:name w:val="destacado-interior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Texto">
    <w:name w:val="texto"/>
    <w:basedOn w:val="Normal1"/>
    <w:qFormat/>
    <w:pPr>
      <w:widowControl/>
      <w:suppressAutoHyphens w:val="false"/>
      <w:spacing w:before="100" w:after="100"/>
      <w:jc w:val="left"/>
      <w:textAlignment w:val="auto"/>
    </w:pPr>
    <w:rPr>
      <w:rFonts w:ascii="Times New Roman" w:hAnsi="Times New Roman" w:eastAsia="Times New Roman" w:cs="Times New Roman"/>
      <w:kern w:val="0"/>
      <w:sz w:val="24"/>
      <w:lang w:eastAsia="es-ES" w:bidi="ar-SA"/>
    </w:rPr>
  </w:style>
  <w:style w:type="paragraph" w:styleId="Cabecera">
    <w:name w:val="Header"/>
    <w:basedOn w:val="Cabeceraypie"/>
    <w:pPr>
      <w:suppressLineNumbers/>
    </w:pPr>
    <w:rPr/>
  </w:style>
  <w:style w:type="paragraph" w:styleId="Contenidodelatabla">
    <w:name w:val="Contenido de la tabla"/>
    <w:basedOn w:val="Normal"/>
    <w:qFormat/>
    <w:pPr>
      <w:suppressLineNumbers/>
    </w:pPr>
    <w:rPr/>
  </w:style>
  <w:style w:type="numbering" w:styleId="WWOutlineListStyle">
    <w:name w:val="WW_OutlineListStyl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laspalmasgc.es/export/sites/laspalmasgc/es/transparencia/.galleries/Organizacion/Decreto-26305-2023-Tenientes-de-alcalde.pdf" TargetMode="External"/><Relationship Id="rId3" Type="http://schemas.openxmlformats.org/officeDocument/2006/relationships/hyperlink" Target="https://www.laspalmasgc.es/export/sites/laspalmasgc/es/transparencia/.galleries/Organizacion/Cert.-Determinacion-Areas-de-Gobierno.pdf" TargetMode="External"/><Relationship Id="rId4" Type="http://schemas.openxmlformats.org/officeDocument/2006/relationships/hyperlink" Target="https://www.laspalmasgc.es/export/sites/laspalmasgc/es/transparencia/.galleries/Organizacion/Cert.-Determinacion-Areas-de-Gobierno.pdf" TargetMode="External"/><Relationship Id="rId5" Type="http://schemas.openxmlformats.org/officeDocument/2006/relationships/hyperlink" Target="https://www.laspalmasgc.es/export/sites/laspalmasgc/es/transparencia/.galleries/Organizacion/Cert.-Determinacion-Areas-de-Gobierno.pdf" TargetMode="External"/><Relationship Id="rId6" Type="http://schemas.openxmlformats.org/officeDocument/2006/relationships/hyperlink" Target="https://www.laspalmasgc.es/export/sites/laspalmasgc/es/transparencia/.galleries/Organizacion/Decreto-31537-2023-Mod-26777-2023.pdf" TargetMode="External"/><Relationship Id="rId7" Type="http://schemas.openxmlformats.org/officeDocument/2006/relationships/hyperlink" Target="https://www.laspalmasgc.es/export/sites/laspalmasgc/es/transparencia/.galleries/Organizacion/Decreto-31537-2023-Mod-26777-2023.pdf" TargetMode="External"/><Relationship Id="rId8" Type="http://schemas.openxmlformats.org/officeDocument/2006/relationships/hyperlink" Target="https://www.laspalmasgc.es/export/sites/laspalmasgc/es/transparencia/.galleries/Organizacion/Decreto-31537-2023-Mod-26777-2023.pdf" TargetMode="External"/><Relationship Id="rId9" Type="http://schemas.openxmlformats.org/officeDocument/2006/relationships/hyperlink" Target="https://www.laspalmasgc.es/export/sites/laspalmasgc/es/transparencia/.galleries/Organizacion/Decreto-31537-2023-Mod-26777-2023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LibreOffice/6.4.7.2$Windows_x86 LibreOffice_project/639b8ac485750d5696d7590a72ef1b496725cfb5</Application>
  <Pages>5</Pages>
  <Words>1419</Words>
  <Characters>7788</Characters>
  <CharactersWithSpaces>9086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2023-08-17T11:46:00Z</dcterms:created>
  <dc:creator>Damián Hernández Martín</dc:creator>
  <dc:description/>
  <dc:language>es-ES</dc:language>
  <cp:lastModifiedBy/>
  <cp:lastPrinted>2023-08-17T11:46:00Z</cp:lastPrinted>
  <dcterms:modified xsi:type="dcterms:W3CDTF">2024-10-31T12:45:46Z</dcterms:modified>
  <cp:revision>4</cp:revision>
  <dc:subject/>
  <dc:title/>
</cp:coreProperties>
</file>