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1A85E176" w:rsidR="00E70950" w:rsidRDefault="00612CC3" w:rsidP="008415C7">
      <w:pPr>
        <w:pStyle w:val="Ttulo1"/>
        <w:pBdr>
          <w:bottom w:val="dashed" w:sz="6" w:space="4" w:color="DDDDDD"/>
        </w:pBdr>
        <w:shd w:val="clear" w:color="auto" w:fill="FFFFFF"/>
        <w:spacing w:after="225"/>
      </w:pPr>
      <w:r w:rsidRPr="00612CC3">
        <w:rPr>
          <w:b w:val="0"/>
          <w:bCs w:val="0"/>
          <w:color w:val="40495A"/>
          <w:sz w:val="39"/>
          <w:szCs w:val="39"/>
        </w:rPr>
        <w:t>Datos sobre Sugerencias y Reclamaciones</w:t>
      </w:r>
    </w:p>
    <w:p w14:paraId="2A219F72" w14:textId="31F1723D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en octubre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2022</w:t>
      </w:r>
    </w:p>
    <w:p w14:paraId="07CCF6B1" w14:textId="77777777" w:rsidR="00612CC3" w:rsidRDefault="00612CC3" w:rsidP="00612CC3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Procedimiento</w:t>
      </w:r>
    </w:p>
    <w:p w14:paraId="5D20AAA8" w14:textId="77777777" w:rsidR="00612CC3" w:rsidRDefault="00612CC3" w:rsidP="00612C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través del trámite de </w:t>
      </w:r>
      <w:hyperlink r:id="rId7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Sugerencias y Reclamaciones</w:t>
        </w:r>
      </w:hyperlink>
      <w:r>
        <w:rPr>
          <w:rFonts w:ascii="Helvetica" w:hAnsi="Helvetica" w:cs="Helvetica"/>
          <w:color w:val="333333"/>
          <w:sz w:val="20"/>
          <w:szCs w:val="20"/>
        </w:rPr>
        <w:t>, donde se podrá formular reclamación dirigida a la Comisión Especial de Sugerencias y Reclamaciones del Ayuntamiento de Las Palmas de Gran Canaria, sobre el funcionamiento de los servicios municipales, la ciudadanía y las organizaciones pueden evidenciar y proponer áreas de actuación con la finalidad de mejorar la organización y la calidad de los servicios públicos.</w:t>
      </w:r>
    </w:p>
    <w:p w14:paraId="493FDE60" w14:textId="77777777" w:rsidR="00612CC3" w:rsidRDefault="00612CC3" w:rsidP="00612C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Reglamento Orgánico de la Comisión Especial de Sugerencias y Reclamaciones del Ayuntamiento de Las Palmas de Gran Canaria</w:t>
        </w:r>
      </w:hyperlink>
    </w:p>
    <w:p w14:paraId="3242DF91" w14:textId="77777777" w:rsidR="00612CC3" w:rsidRDefault="00612CC3" w:rsidP="00612CC3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9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Reglamento de Desarrollo del Organismo de la Comisión Especial de Sugerencias y Reclamaciones del Ayuntamiento de Las Palmas de Gran Canaria.</w:t>
        </w:r>
      </w:hyperlink>
    </w:p>
    <w:p w14:paraId="4A879D95" w14:textId="77777777" w:rsidR="00612CC3" w:rsidRDefault="00612CC3" w:rsidP="00612CC3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4FB54A26" w14:textId="77777777" w:rsidR="00612CC3" w:rsidRDefault="00612CC3" w:rsidP="00612CC3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Datos de Sugerencias y Reclamaciones presentadas en el registro general:</w:t>
      </w:r>
    </w:p>
    <w:tbl>
      <w:tblPr>
        <w:tblW w:w="9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441"/>
        <w:gridCol w:w="1441"/>
        <w:gridCol w:w="1441"/>
        <w:gridCol w:w="1441"/>
        <w:gridCol w:w="1441"/>
        <w:gridCol w:w="1441"/>
        <w:gridCol w:w="74"/>
      </w:tblGrid>
      <w:tr w:rsidR="00612CC3" w14:paraId="5623B19A" w14:textId="77777777" w:rsidTr="00612CC3">
        <w:trPr>
          <w:tblHeader/>
        </w:trPr>
        <w:tc>
          <w:tcPr>
            <w:tcW w:w="9705" w:type="dxa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EA78A8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RESUMEN SUGERENCIAS RECLAMACIONES 2016/2021</w:t>
            </w:r>
          </w:p>
        </w:tc>
      </w:tr>
      <w:tr w:rsidR="00612CC3" w14:paraId="691356F0" w14:textId="77777777" w:rsidTr="00612CC3">
        <w:trPr>
          <w:gridAfter w:val="1"/>
          <w:wAfter w:w="74" w:type="dxa"/>
          <w:tblHeader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61426E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AÑO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3E3580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Desistidos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974A89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Excluidos o inadmitidos por causa reglamentaria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135E34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Formulados en queja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11FB70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Sin concluir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E7A59E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Tramitados conforme al reglamento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C98580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Total</w:t>
            </w:r>
          </w:p>
        </w:tc>
      </w:tr>
      <w:tr w:rsidR="00612CC3" w14:paraId="6339A29C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FB346B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16B0A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84EBC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5753EA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3B318B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E86CCE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A2BD01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943</w:t>
            </w:r>
          </w:p>
        </w:tc>
      </w:tr>
      <w:tr w:rsidR="00612CC3" w14:paraId="3F036F50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2023F2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0FDC9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8F9434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3583EE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1310A9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72FD03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6118DC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</w:t>
            </w:r>
          </w:p>
        </w:tc>
      </w:tr>
      <w:tr w:rsidR="00612CC3" w14:paraId="6B61A7E9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D21D2B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B5AA93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5DACD5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BC59A5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C7E8E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3FD212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6ACDB0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477</w:t>
            </w:r>
          </w:p>
        </w:tc>
      </w:tr>
      <w:tr w:rsidR="00612CC3" w14:paraId="53F9B30C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7380B8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1DDC0D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8FA3F6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91C18D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BB0602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E22EA7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279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2491C9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</w:t>
            </w:r>
          </w:p>
        </w:tc>
      </w:tr>
      <w:tr w:rsidR="00612CC3" w14:paraId="4BE483FC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56A3D5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D7FF5D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6C7C95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F44C3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1E1136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871610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664EAA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333</w:t>
            </w:r>
          </w:p>
        </w:tc>
      </w:tr>
      <w:tr w:rsidR="00612CC3" w14:paraId="408BA13B" w14:textId="77777777" w:rsidTr="00612CC3">
        <w:trPr>
          <w:gridAfter w:val="1"/>
          <w:wAfter w:w="74" w:type="dxa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A8252E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A705E5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99CDCC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79005F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1020B1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C2FA99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352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148052" w14:textId="77777777" w:rsidR="00612CC3" w:rsidRDefault="00612CC3">
            <w:pPr>
              <w:pStyle w:val="western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406</w:t>
            </w:r>
          </w:p>
        </w:tc>
      </w:tr>
    </w:tbl>
    <w:p w14:paraId="6BD7D2EA" w14:textId="77777777" w:rsidR="008415C7" w:rsidRDefault="008415C7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8415C7">
      <w:headerReference w:type="default" r:id="rId10"/>
      <w:footerReference w:type="default" r:id="rId11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612CC3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612CC3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612CC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612CC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612CC3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612CC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612CC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473CAC"/>
    <w:rsid w:val="00504739"/>
    <w:rsid w:val="005F1CE2"/>
    <w:rsid w:val="00612CC3"/>
    <w:rsid w:val="008415C7"/>
    <w:rsid w:val="009A7BBB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western">
    <w:name w:val="western"/>
    <w:basedOn w:val="Normal"/>
    <w:rsid w:val="00473CAC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xport/sites/laspalmasgc/.galleries/documentos-normativa/BOP-162-REGLAMENTO-ORGANICO-DE-LA-COMISION-DE-SUGERENCIAS-Y-RECLAMACION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online/sede-electronica/tramites-de-la-sede-electronica/index.html?cod=63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xport/sites/laspalmasgc/.galleries/documentos-normativa/9.6-REGLAMENTO-DE-DESARROLLO-DEL-ORGANISMO-DE-LA-COM-ESP.-SUGERENCIAS-3-1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2022-10-17T18:11:00Z</dcterms:created>
  <dcterms:modified xsi:type="dcterms:W3CDTF">2022-10-17T18:11:00Z</dcterms:modified>
</cp:coreProperties>
</file>