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pBdr>
          <w:bottom w:val="dashed" w:sz="6" w:space="4" w:color="DDDDDD"/>
        </w:pBdr>
        <w:tabs>
          <w:tab w:val="clear" w:pos="737"/>
          <w:tab w:val="left" w:pos="0" w:leader="none"/>
        </w:tabs>
        <w:spacing w:before="0" w:after="225"/>
        <w:ind w:left="0" w:hanging="0"/>
        <w:rPr/>
      </w:pPr>
      <w:r>
        <w:rPr>
          <w:rStyle w:val="Fuentedeprrafopredeter"/>
          <w:rFonts w:cs="Helvetica" w:ascii="Helvetica" w:hAnsi="Helvetica"/>
          <w:b w:val="false"/>
          <w:bCs w:val="false"/>
          <w:color w:val="40495A"/>
          <w:sz w:val="20"/>
          <w:szCs w:val="20"/>
        </w:rPr>
        <w:t>Juntas Municipales de Distrito</w:t>
      </w:r>
    </w:p>
    <w:p>
      <w:pPr>
        <w:pStyle w:val="Normal1"/>
        <w:widowControl/>
        <w:suppressAutoHyphens w:val="false"/>
        <w:spacing w:lineRule="atLeast" w:line="300"/>
        <w:jc w:val="right"/>
        <w:rPr>
          <w:rFonts w:ascii="Helvetica" w:hAnsi="Helvetica" w:eastAsia="Times New Roman" w:cs="Helvetica"/>
          <w:kern w:val="0"/>
          <w:sz w:val="20"/>
          <w:szCs w:val="20"/>
          <w:lang w:eastAsia="es-ES" w:bidi="ar-SA"/>
        </w:rPr>
      </w:pPr>
      <w:r>
        <w:rPr>
          <w:rFonts w:eastAsia="Times New Roman" w:cs="Helvetica" w:ascii="Helvetica" w:hAnsi="Helvetica"/>
          <w:kern w:val="0"/>
          <w:sz w:val="20"/>
          <w:szCs w:val="20"/>
          <w:lang w:eastAsia="es-ES" w:bidi="ar-SA"/>
        </w:rPr>
        <w:t xml:space="preserve">Información revisada en </w:t>
      </w:r>
      <w:r>
        <w:rPr>
          <w:rFonts w:eastAsia="Times New Roman" w:cs="Helvetica" w:ascii="Helvetica" w:hAnsi="Helvetica"/>
          <w:kern w:val="0"/>
          <w:sz w:val="20"/>
          <w:szCs w:val="20"/>
          <w:lang w:eastAsia="es-ES" w:bidi="ar-SA"/>
        </w:rPr>
        <w:t>noviem</w:t>
      </w:r>
      <w:r>
        <w:rPr>
          <w:rFonts w:eastAsia="Times New Roman" w:cs="Helvetica" w:ascii="Helvetica" w:hAnsi="Helvetica"/>
          <w:kern w:val="0"/>
          <w:sz w:val="20"/>
          <w:szCs w:val="20"/>
          <w:lang w:eastAsia="es-ES" w:bidi="ar-SA"/>
        </w:rPr>
        <w:t>bre de 2024</w:t>
      </w:r>
    </w:p>
    <w:p>
      <w:pPr>
        <w:pStyle w:val="Ttulo2"/>
        <w:rPr>
          <w:rFonts w:ascii="Helvetica" w:hAnsi="Helvetica" w:cs="Helvetica"/>
          <w:sz w:val="20"/>
          <w:szCs w:val="20"/>
        </w:rPr>
      </w:pPr>
      <w:r>
        <w:rPr>
          <w:rFonts w:cs="Helvetica" w:ascii="Helvetica" w:hAnsi="Helvetica"/>
          <w:sz w:val="20"/>
          <w:szCs w:val="20"/>
        </w:rPr>
        <w:t>Juntas Municipales de Distrito</w:t>
      </w:r>
    </w:p>
    <w:p>
      <w:pPr>
        <w:pStyle w:val="Texto"/>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Nacen con la entrada en vigor de La Ley de Medidas para la Modernización del Gobierno Local. Son órganos de gestión desconcentrada que posibilitan la participación de los ciudadanos en el gobierno y la administración de la Ciudad, sin perjuicio del mantenimiento de la unidad de gestión del gobierno municipal. Ostentará las competencias que expresamente le atribuya el Alcalde y, en su caso, la Junta de Gobierno de la Ciudad de Las Palmas de Gran Canaria, en los términos y con el alcance que establezca el decreto o el acuerdo de delegación.</w:t>
      </w:r>
    </w:p>
    <w:p>
      <w:pPr>
        <w:pStyle w:val="Texto"/>
        <w:numPr>
          <w:ilvl w:val="0"/>
          <w:numId w:val="2"/>
        </w:numPr>
        <w:shd w:fill="FFFFFF" w:val="clear"/>
        <w:tabs>
          <w:tab w:val="clear" w:pos="737"/>
          <w:tab w:val="left" w:pos="720" w:leader="none"/>
        </w:tabs>
        <w:spacing w:before="0" w:after="0"/>
        <w:ind w:left="870" w:right="0" w:hanging="0"/>
        <w:textAlignment w:val="baseline"/>
        <w:rPr/>
      </w:pPr>
      <w:hyperlink r:id="rId2" w:tgtFrame="_top">
        <w:r>
          <w:rPr>
            <w:rStyle w:val="EnlacedeInternet"/>
            <w:rFonts w:cs="Helvetica" w:ascii="Helvetica" w:hAnsi="Helvetica"/>
            <w:color w:val="00B1D1"/>
            <w:sz w:val="20"/>
            <w:szCs w:val="20"/>
          </w:rPr>
          <w:t>Vegueta, Cono Sur y Tafira</w:t>
        </w:r>
      </w:hyperlink>
    </w:p>
    <w:p>
      <w:pPr>
        <w:pStyle w:val="Texto"/>
        <w:numPr>
          <w:ilvl w:val="0"/>
          <w:numId w:val="2"/>
        </w:numPr>
        <w:shd w:fill="FFFFFF" w:val="clear"/>
        <w:tabs>
          <w:tab w:val="clear" w:pos="737"/>
          <w:tab w:val="left" w:pos="720" w:leader="none"/>
        </w:tabs>
        <w:spacing w:before="0" w:after="0"/>
        <w:ind w:left="870" w:right="0" w:hanging="0"/>
        <w:textAlignment w:val="baseline"/>
        <w:rPr/>
      </w:pPr>
      <w:hyperlink r:id="rId3" w:tgtFrame="_top">
        <w:r>
          <w:rPr>
            <w:rStyle w:val="EnlacedeInternet"/>
            <w:rFonts w:cs="Helvetica" w:ascii="Helvetica" w:hAnsi="Helvetica"/>
            <w:color w:val="00B1D1"/>
            <w:sz w:val="20"/>
            <w:szCs w:val="20"/>
          </w:rPr>
          <w:t>Centro</w:t>
        </w:r>
      </w:hyperlink>
    </w:p>
    <w:p>
      <w:pPr>
        <w:pStyle w:val="Texto"/>
        <w:numPr>
          <w:ilvl w:val="0"/>
          <w:numId w:val="2"/>
        </w:numPr>
        <w:shd w:fill="FFFFFF" w:val="clear"/>
        <w:tabs>
          <w:tab w:val="clear" w:pos="737"/>
          <w:tab w:val="left" w:pos="720" w:leader="none"/>
        </w:tabs>
        <w:spacing w:before="0" w:after="0"/>
        <w:ind w:left="870" w:right="0" w:hanging="0"/>
        <w:textAlignment w:val="baseline"/>
        <w:rPr/>
      </w:pPr>
      <w:hyperlink r:id="rId4" w:tgtFrame="_top">
        <w:r>
          <w:rPr>
            <w:rStyle w:val="EnlacedeInternet"/>
            <w:rFonts w:cs="Helvetica" w:ascii="Helvetica" w:hAnsi="Helvetica"/>
            <w:color w:val="00B1D1"/>
            <w:sz w:val="20"/>
            <w:szCs w:val="20"/>
          </w:rPr>
          <w:t>Isleta-Puerto-Guanarteme</w:t>
        </w:r>
      </w:hyperlink>
    </w:p>
    <w:p>
      <w:pPr>
        <w:pStyle w:val="Texto"/>
        <w:numPr>
          <w:ilvl w:val="0"/>
          <w:numId w:val="2"/>
        </w:numPr>
        <w:shd w:fill="FFFFFF" w:val="clear"/>
        <w:tabs>
          <w:tab w:val="clear" w:pos="737"/>
          <w:tab w:val="left" w:pos="720" w:leader="none"/>
        </w:tabs>
        <w:spacing w:before="0" w:after="0"/>
        <w:ind w:left="870" w:right="0" w:hanging="0"/>
        <w:textAlignment w:val="baseline"/>
        <w:rPr/>
      </w:pPr>
      <w:hyperlink r:id="rId5" w:tgtFrame="_top">
        <w:r>
          <w:rPr>
            <w:rStyle w:val="EnlacedeInternet"/>
            <w:rFonts w:cs="Helvetica" w:ascii="Helvetica" w:hAnsi="Helvetica"/>
            <w:color w:val="00B1D1"/>
            <w:sz w:val="20"/>
            <w:szCs w:val="20"/>
          </w:rPr>
          <w:t>Ciudad Alta</w:t>
        </w:r>
      </w:hyperlink>
    </w:p>
    <w:p>
      <w:pPr>
        <w:pStyle w:val="Texto"/>
        <w:numPr>
          <w:ilvl w:val="0"/>
          <w:numId w:val="2"/>
        </w:numPr>
        <w:shd w:fill="FFFFFF" w:val="clear"/>
        <w:tabs>
          <w:tab w:val="clear" w:pos="737"/>
          <w:tab w:val="left" w:pos="720" w:leader="none"/>
        </w:tabs>
        <w:spacing w:before="0" w:after="0"/>
        <w:ind w:left="870" w:right="0" w:hanging="0"/>
        <w:textAlignment w:val="baseline"/>
        <w:rPr/>
      </w:pPr>
      <w:hyperlink r:id="rId6" w:tgtFrame="_top">
        <w:r>
          <w:rPr>
            <w:rStyle w:val="EnlacedeInternet"/>
            <w:rFonts w:cs="Helvetica" w:ascii="Helvetica" w:hAnsi="Helvetica"/>
            <w:color w:val="00B1D1"/>
            <w:sz w:val="20"/>
            <w:szCs w:val="20"/>
          </w:rPr>
          <w:t>Tamaraceite-San Lorenzo-Tenoya</w:t>
        </w:r>
      </w:hyperlink>
    </w:p>
    <w:p>
      <w:pPr>
        <w:pStyle w:val="Texto"/>
        <w:shd w:fill="FFFFFF" w:val="clear"/>
        <w:tabs>
          <w:tab w:val="clear" w:pos="737"/>
          <w:tab w:val="left" w:pos="720" w:leader="none"/>
        </w:tabs>
        <w:spacing w:before="0" w:after="0"/>
        <w:ind w:left="870" w:right="0" w:hanging="0"/>
        <w:textAlignment w:val="baseline"/>
        <w:rPr>
          <w:rFonts w:ascii="Helvetica" w:hAnsi="Helvetica" w:cs="Helvetica"/>
          <w:sz w:val="20"/>
          <w:szCs w:val="20"/>
        </w:rPr>
      </w:pPr>
      <w:r>
        <w:rPr>
          <w:rFonts w:cs="Helvetica" w:ascii="Helvetica" w:hAnsi="Helvetica"/>
          <w:sz w:val="20"/>
          <w:szCs w:val="20"/>
        </w:rPr>
      </w:r>
    </w:p>
    <w:p>
      <w:pPr>
        <w:pStyle w:val="Ttulo2"/>
        <w:rPr>
          <w:rFonts w:ascii="Helvetica" w:hAnsi="Helvetica" w:cs="Helvetica"/>
          <w:sz w:val="20"/>
          <w:szCs w:val="20"/>
        </w:rPr>
      </w:pPr>
      <w:r>
        <w:rPr>
          <w:rFonts w:cs="Helvetica" w:ascii="Helvetica" w:hAnsi="Helvetica"/>
          <w:sz w:val="20"/>
          <w:szCs w:val="20"/>
        </w:rPr>
        <w:t>Composición</w:t>
      </w:r>
    </w:p>
    <w:p>
      <w:pPr>
        <w:pStyle w:val="Texto"/>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 Junta Municipal de Distrito estará compuesta por:</w:t>
      </w:r>
    </w:p>
    <w:p>
      <w:pPr>
        <w:pStyle w:val="Texto"/>
        <w:numPr>
          <w:ilvl w:val="0"/>
          <w:numId w:val="3"/>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El Concejal Presidente de Distrito, que actuará de Presidente de Junta Municipal del Distrito</w:t>
      </w:r>
    </w:p>
    <w:p>
      <w:pPr>
        <w:pStyle w:val="Texto"/>
        <w:numPr>
          <w:ilvl w:val="0"/>
          <w:numId w:val="3"/>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El Concejal Vicepresidente del Distrito</w:t>
      </w:r>
    </w:p>
    <w:p>
      <w:pPr>
        <w:pStyle w:val="Texto"/>
        <w:numPr>
          <w:ilvl w:val="0"/>
          <w:numId w:val="3"/>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Los vocales representantes de los vecinos. Se establece para cada Distrito un número de vocales en función de la población que la integra conforme a la siguiente escala:</w:t>
      </w:r>
    </w:p>
    <w:p>
      <w:pPr>
        <w:pStyle w:val="Texto"/>
        <w:numPr>
          <w:ilvl w:val="0"/>
          <w:numId w:val="3"/>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El Director del Distrito, que actuará de Secretario de la Junta.</w:t>
      </w:r>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r>
        <w:rPr>
          <w:rStyle w:val="Hipervnculo"/>
        </w:rPr>
        <w:t>Decreto 43335/2024, de 11 de noviembre, de revocación de nombramiento y nueva designación vocal, en representación del Grupo Popular en la Junta Municipal de Distrito Isleta-Puerto-Guanarteme</w:t>
      </w:r>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7" w:tgtFrame="_blank">
        <w:r>
          <w:rPr>
            <w:rStyle w:val="EnlacedeInternet"/>
          </w:rPr>
          <w:t>Decreto 42297/2024, de 30 de octubre, de la alcadesa por el que se modifica Decreto 26902/2023, de 29 de junio, por el que se designa nuevo presidente de Distrito Ciudad Alta</w:t>
        </w:r>
      </w:hyperlink>
      <w:r>
        <w:rPr>
          <w:rStyle w:val="Hipervnculo"/>
        </w:rPr>
        <w:t xml:space="preserve"> </w:t>
      </w:r>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8" w:tgtFrame="_blank">
        <w:r>
          <w:rPr>
            <w:rStyle w:val="EnlacedeInternet"/>
          </w:rPr>
          <w:t>Decreto 40682/2024, de 23 de octubre, de la alcaldesa de revocación de nombramiento y nueva designación de vocal, en representación del Grupo Político Muinicipal Vox, en la Junta Municipal de Distrito Centro</w:t>
        </w:r>
      </w:hyperlink>
      <w:r>
        <w:rPr>
          <w:rStyle w:val="Hipervnculo"/>
        </w:rPr>
        <w:t xml:space="preserve"> </w:t>
      </w:r>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9" w:tgtFrame="_blank">
        <w:r>
          <w:rPr>
            <w:rStyle w:val="EnlacedeInternet"/>
          </w:rPr>
          <w:t>Decreto 35760/2024, de 18 de septiembre, de la alcaldesa de revocación de nombramientos de don Adrián Santana García como concejal delegado de del Área de Cultura y como concejal presidente del Distrito de Ciudad Alta.</w:t>
        </w:r>
      </w:hyperlink>
      <w:r>
        <w:rPr>
          <w:rStyle w:val="Hipervnculo"/>
          <w:rFonts w:cs="Helvetica" w:ascii="inherit" w:hAnsi="inherit"/>
          <w:color w:val="00B1D1"/>
          <w:sz w:val="20"/>
          <w:szCs w:val="20"/>
        </w:rPr>
        <w:t xml:space="preserve"> </w:t>
      </w:r>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0" w:tgtFrame="_blank">
        <w:r>
          <w:rPr>
            <w:rStyle w:val="EnlacedeInternet"/>
            <w:rFonts w:cs="Helvetica" w:ascii="inherit" w:hAnsi="inherit"/>
            <w:color w:val="00B1D1"/>
            <w:sz w:val="20"/>
            <w:szCs w:val="20"/>
          </w:rPr>
          <w:t>Decreto 35011/2024, de 11 de septiembre, de la alcaldesa de revocación de nombramiento y nueva designación de vocal, en representación del Grupo Político Municipal Popular, en la Junta Municipal de Distrito Isleta-Puerto-Guanarteme</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1" w:tgtFrame="_blank">
        <w:r>
          <w:rPr>
            <w:rStyle w:val="EnlacedeInternet"/>
            <w:rFonts w:cs="Helvetica" w:ascii="inherit" w:hAnsi="inherit"/>
            <w:color w:val="00B1D1"/>
            <w:sz w:val="20"/>
            <w:szCs w:val="20"/>
          </w:rPr>
          <w:t>Decreto 34965/2024, de 10 de septiembre, de la alcaldesa de revocación de nombramiento y nueva designación de vocal, en representación del Grupo Político Municipal Popular, en la Junta Municipal de Distrito Centro</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2" w:tgtFrame="_blank">
        <w:r>
          <w:rPr>
            <w:rStyle w:val="EnlacedeInternet"/>
            <w:rFonts w:cs="Helvetica" w:ascii="inherit" w:hAnsi="inherit"/>
            <w:color w:val="00B1D1"/>
            <w:sz w:val="20"/>
            <w:szCs w:val="20"/>
          </w:rPr>
          <w:t>Decreto 27767/2024, de 5 de julio, de la alcaldesa de revocación de nombramiento y nueva designación de vocal, en representación del Grupo Político Municipal Socialista, en la Junta Municipal de Distrito Tamaraceite-San Lorenzo-Tenoya</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3" w:tgtFrame="_blank">
        <w:r>
          <w:rPr>
            <w:rStyle w:val="EnlacedeInternet"/>
            <w:rFonts w:cs="Helvetica" w:ascii="inherit" w:hAnsi="inherit"/>
            <w:color w:val="00B1D1"/>
            <w:sz w:val="20"/>
            <w:szCs w:val="20"/>
          </w:rPr>
          <w:t>Decreto 27772/2024, de 5 de julio, de la alcaldesa de revocación de nombramiento y nueva designación de vocal, en representación del Grupo Político Municipal Popular, en la Junta Municipal de Distrito Ciudad Alta</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4" w:tgtFrame="_blank">
        <w:r>
          <w:rPr>
            <w:rStyle w:val="EnlacedeInternet"/>
            <w:rFonts w:cs="Helvetica" w:ascii="inherit" w:hAnsi="inherit"/>
            <w:color w:val="00B1D1"/>
            <w:sz w:val="20"/>
            <w:szCs w:val="20"/>
          </w:rPr>
          <w:t>Decreto 27015/2024, de 3 de julio, de la alcaldesa de revocación de nombramiento y nueva designación de vocal, en representación del Grupo Político Muniicpal Vox, en la Junta Municipal de Distrito Centro.</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5" w:tgtFrame="_blank">
        <w:r>
          <w:rPr>
            <w:rStyle w:val="EnlacedeInternet"/>
            <w:rFonts w:cs="Helvetica" w:ascii="inherit" w:hAnsi="inherit"/>
            <w:color w:val="00B1D1"/>
            <w:sz w:val="20"/>
            <w:szCs w:val="20"/>
          </w:rPr>
          <w:t>Decreto 18103/2024, de 2 de mayo, de la alcaldesa de revocación de nombramiento y nueva designación de vocal, en representación del Grupo Político Municipal Vox, en la Junta Municipal de Distrito Isleta-Puerto-Guanarteme.</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6" w:tgtFrame="_blank">
        <w:r>
          <w:rPr>
            <w:rStyle w:val="EnlacedeInternet"/>
            <w:rFonts w:cs="Helvetica" w:ascii="inherit" w:hAnsi="inherit"/>
            <w:color w:val="00B1D1"/>
            <w:sz w:val="20"/>
            <w:szCs w:val="20"/>
          </w:rPr>
          <w:t>Decreto10560/2024, de 13 de marzo, de la alcaldesa de revocación de nombramientos y nueva designación de vocal, en representación del Grupo Político Municipal Popular, en la Junta Municipal de Distrito Centro</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7" w:tgtFrame="_blank">
        <w:r>
          <w:rPr>
            <w:rStyle w:val="EnlacedeInternet"/>
            <w:rFonts w:cs="Helvetica" w:ascii="inherit" w:hAnsi="inherit"/>
            <w:color w:val="00B1D1"/>
            <w:sz w:val="20"/>
            <w:szCs w:val="20"/>
          </w:rPr>
          <w:t>Decreto 10144/2024, de 11 de marzo, de la alcaldesa de revocación de nombramientos y nueva designación de vocal, en representación del Grupo Político Municipal Mixto, en la Junta Municipal de Distrito Centro</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8" w:tgtFrame="_blank">
        <w:r>
          <w:rPr>
            <w:rStyle w:val="EnlacedeInternet"/>
            <w:rFonts w:cs="Helvetica" w:ascii="inherit" w:hAnsi="inherit"/>
            <w:color w:val="00B1D1"/>
            <w:sz w:val="20"/>
            <w:szCs w:val="20"/>
          </w:rPr>
          <w:t>Decreto 10143/2024, de 11 de marzo, de la alcaldesa de revocación de nombramientos y nueva designación de vocal, en representación del Grupo Político Municipal Mixto, en la Junta Municipal de Distrito Isleta-Puerto-Guanarteme</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9" w:tgtFrame="_blank">
        <w:r>
          <w:rPr>
            <w:rStyle w:val="EnlacedeInternet"/>
            <w:rFonts w:cs="Helvetica" w:ascii="inherit" w:hAnsi="inherit"/>
            <w:color w:val="00B1D1"/>
            <w:sz w:val="20"/>
            <w:szCs w:val="20"/>
          </w:rPr>
          <w:t>Decreto7254/2024, de 21 de febrero, de la alcaldesa de revocación de nombramientos y nueva designación de vocal, en representación del Grupo Político Municipal Vox, en la Junta Municipal de Distrito Tamaraceite-San Lorenzo-Tenoya</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20" w:tgtFrame="_blank">
        <w:r>
          <w:rPr>
            <w:rStyle w:val="EnlacedeInternet"/>
            <w:rFonts w:cs="Helvetica" w:ascii="inherit" w:hAnsi="inherit"/>
            <w:color w:val="00B1D1"/>
            <w:sz w:val="20"/>
            <w:szCs w:val="20"/>
          </w:rPr>
          <w:t>Decreto 7253/2024, de 21 de febrero, de la alcaldesa de revocación de nombramientos y nueva designación de vocal, en representación del Grupo Político Municipal Vox, en la Junta Municipal de Distrito Ciudad Alta</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21" w:tgtFrame="_blank">
        <w:r>
          <w:rPr>
            <w:rStyle w:val="EnlacedeInternet"/>
            <w:rFonts w:cs="Helvetica" w:ascii="inherit" w:hAnsi="inherit"/>
            <w:color w:val="00B1D1"/>
            <w:sz w:val="20"/>
            <w:szCs w:val="20"/>
          </w:rPr>
          <w:t>Decreto 7252/2024, de 21 de febrero, de la alcaldesa de revocación de nombramientos y nueva designación de vocal, en representación del Grupo Político Municipal Vox, en la Junta Municipal de Distrito Centro</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22" w:tgtFrame="_blank">
        <w:r>
          <w:rPr>
            <w:rStyle w:val="EnlacedeInternet"/>
            <w:rFonts w:cs="Helvetica" w:ascii="inherit" w:hAnsi="inherit"/>
            <w:color w:val="00B1D1"/>
            <w:sz w:val="20"/>
            <w:szCs w:val="20"/>
          </w:rPr>
          <w:t>Decreto de la alcaldesa por el que se procede a la rectificación del error aritmético detectado en sus Decretos números 27152/2023, de 5 de julio, y 26902/2023 de 29 de junio, respectivamente, por el que se nombra a los concejales presidentes y vicepresidentes de distritos, y se determina la distribución proporcional de vocales cuyo nombramiento corresponde proponer a cada grupo político municipa</w:t>
        </w:r>
      </w:hyperlink>
      <w:r>
        <w:rPr>
          <w:rStyle w:val="Fuentedeprrafopredeter"/>
          <w:rFonts w:cs="Helvetica" w:ascii="inherit" w:hAnsi="inherit"/>
          <w:color w:val="333333"/>
          <w:sz w:val="20"/>
          <w:szCs w:val="20"/>
        </w:rPr>
        <w:t>l</w:t>
      </w:r>
    </w:p>
    <w:p>
      <w:pPr>
        <w:pStyle w:val="NormalWeb"/>
        <w:shd w:fill="FFFFFF" w:val="clear"/>
        <w:spacing w:before="0" w:after="135"/>
        <w:jc w:val="both"/>
        <w:textAlignment w:val="baseline"/>
        <w:rPr>
          <w:rFonts w:ascii="Helvetica" w:hAnsi="Helvetica" w:cs="Helvetica"/>
          <w:i/>
          <w:i/>
          <w:iCs/>
          <w:color w:val="333333"/>
          <w:sz w:val="20"/>
          <w:szCs w:val="20"/>
        </w:rPr>
      </w:pPr>
      <w:r>
        <w:rPr>
          <w:rFonts w:cs="Helvetica" w:ascii="Helvetica" w:hAnsi="Helvetica"/>
          <w:i/>
          <w:iCs/>
          <w:color w:val="333333"/>
          <w:sz w:val="20"/>
          <w:szCs w:val="20"/>
        </w:rPr>
      </w:r>
    </w:p>
    <w:p>
      <w:pPr>
        <w:pStyle w:val="NormalWeb"/>
        <w:shd w:fill="FFFFFF" w:val="clear"/>
        <w:spacing w:before="0" w:after="135"/>
        <w:jc w:val="both"/>
        <w:textAlignment w:val="baseline"/>
        <w:rPr>
          <w:rFonts w:ascii="Helvetica" w:hAnsi="Helvetica" w:cs="Helvetica"/>
          <w:i/>
          <w:i/>
          <w:iCs/>
          <w:color w:val="333333"/>
          <w:sz w:val="20"/>
          <w:szCs w:val="20"/>
        </w:rPr>
      </w:pPr>
      <w:r>
        <w:rPr>
          <w:rFonts w:cs="Helvetica" w:ascii="Helvetica" w:hAnsi="Helvetica"/>
          <w:i/>
          <w:iCs/>
          <w:color w:val="333333"/>
          <w:sz w:val="20"/>
          <w:szCs w:val="20"/>
        </w:rPr>
        <w:t>Presidentes y Vicepresidentes</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 </w:t>
      </w:r>
      <w:r>
        <w:rPr>
          <w:rFonts w:cs="Helvetica" w:ascii="Helvetica" w:hAnsi="Helvetica"/>
          <w:color w:val="333333"/>
          <w:sz w:val="20"/>
          <w:szCs w:val="20"/>
        </w:rPr>
        <w:t>Los Concejales Presidentes de Distritos son:</w:t>
      </w:r>
    </w:p>
    <w:tbl>
      <w:tblPr>
        <w:tblW w:w="9900" w:type="dxa"/>
        <w:jc w:val="left"/>
        <w:tblInd w:w="150" w:type="dxa"/>
        <w:tblCellMar>
          <w:top w:w="105" w:type="dxa"/>
          <w:left w:w="150" w:type="dxa"/>
          <w:bottom w:w="105" w:type="dxa"/>
          <w:right w:w="150" w:type="dxa"/>
        </w:tblCellMar>
      </w:tblPr>
      <w:tblGrid>
        <w:gridCol w:w="4950"/>
        <w:gridCol w:w="4950"/>
      </w:tblGrid>
      <w:tr>
        <w:trPr>
          <w:tblHeader w:val="true"/>
        </w:trPr>
        <w:tc>
          <w:tcPr>
            <w:tcW w:w="4950" w:type="dxa"/>
            <w:tcBorders>
              <w:bottom w:val="single" w:sz="12" w:space="0" w:color="DDDDDD"/>
            </w:tcBorders>
            <w:shd w:fill="EDEDED" w:val="clear"/>
            <w:vAlign w:val="center"/>
          </w:tcPr>
          <w:p>
            <w:pPr>
              <w:pStyle w:val="Normal1"/>
              <w:spacing w:before="0" w:after="200"/>
              <w:jc w:val="center"/>
              <w:rPr/>
            </w:pPr>
            <w:r>
              <w:rPr>
                <w:rStyle w:val="Textoennegrita"/>
                <w:rFonts w:cs="Helvetica" w:ascii="Helvetica" w:hAnsi="Helvetica"/>
                <w:sz w:val="20"/>
                <w:szCs w:val="20"/>
              </w:rPr>
              <w:t>Distrito</w:t>
            </w:r>
          </w:p>
        </w:tc>
        <w:tc>
          <w:tcPr>
            <w:tcW w:w="4950" w:type="dxa"/>
            <w:tcBorders>
              <w:bottom w:val="single" w:sz="12" w:space="0" w:color="DDDDDD"/>
            </w:tcBorders>
            <w:shd w:fill="EDEDED" w:val="clear"/>
            <w:vAlign w:val="center"/>
          </w:tcPr>
          <w:p>
            <w:pPr>
              <w:pStyle w:val="Normal1"/>
              <w:spacing w:before="0" w:after="200"/>
              <w:jc w:val="center"/>
              <w:rPr/>
            </w:pPr>
            <w:r>
              <w:rPr>
                <w:rStyle w:val="Textoennegrita"/>
                <w:rFonts w:cs="Helvetica" w:ascii="Helvetica" w:hAnsi="Helvetica"/>
                <w:sz w:val="20"/>
                <w:szCs w:val="20"/>
              </w:rPr>
              <w:t>Concejal/a Presidente/a</w:t>
            </w:r>
          </w:p>
        </w:tc>
      </w:tr>
      <w:tr>
        <w:trPr/>
        <w:tc>
          <w:tcPr>
            <w:tcW w:w="4950" w:type="dxa"/>
            <w:tcBorders>
              <w:top w:val="single" w:sz="6" w:space="0" w:color="DDDDDD"/>
            </w:tcBorders>
            <w:vAlign w:val="center"/>
          </w:tcPr>
          <w:p>
            <w:pPr>
              <w:pStyle w:val="Normal1"/>
              <w:spacing w:before="0" w:after="200"/>
              <w:jc w:val="left"/>
              <w:rPr>
                <w:rFonts w:ascii="Helvetica" w:hAnsi="Helvetica" w:cs="Helvetica"/>
                <w:sz w:val="20"/>
                <w:szCs w:val="20"/>
              </w:rPr>
            </w:pPr>
            <w:r>
              <w:rPr>
                <w:rFonts w:cs="Helvetica" w:ascii="Helvetica" w:hAnsi="Helvetica"/>
                <w:sz w:val="20"/>
                <w:szCs w:val="20"/>
              </w:rPr>
              <w:t>Distrito Vegueta, Cono Sur y Tafira</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D.ª Saturnina Santana Dumpiérrez</w:t>
            </w:r>
          </w:p>
        </w:tc>
      </w:tr>
      <w:tr>
        <w:trPr/>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Centro</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D.ª José Eduardo Ramírez Hermoso</w:t>
            </w:r>
          </w:p>
        </w:tc>
      </w:tr>
      <w:tr>
        <w:trPr/>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Isleta-Puerto–Guanarteme</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 Héctor Javier Alemán Arencibia</w:t>
            </w:r>
          </w:p>
        </w:tc>
      </w:tr>
      <w:tr>
        <w:trPr/>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Ciudad Alta</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 xml:space="preserve">D. </w:t>
            </w:r>
            <w:r>
              <w:rPr>
                <w:rFonts w:cs="Helvetica" w:ascii="Helvetica" w:hAnsi="Helvetica"/>
                <w:sz w:val="20"/>
                <w:szCs w:val="20"/>
              </w:rPr>
              <w:t>ª Betsaida González Rodríguez</w:t>
            </w:r>
          </w:p>
        </w:tc>
      </w:tr>
      <w:tr>
        <w:trPr/>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Tamaraceite-San Lorenzo-Tenoya</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D.ª Esther Lidia Martín Martín</w:t>
            </w:r>
          </w:p>
        </w:tc>
      </w:tr>
    </w:tbl>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 </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Los Concejales Vicepresidentes de Distritos son:</w:t>
      </w:r>
    </w:p>
    <w:tbl>
      <w:tblPr>
        <w:tblW w:w="9900" w:type="dxa"/>
        <w:jc w:val="left"/>
        <w:tblInd w:w="150" w:type="dxa"/>
        <w:tblCellMar>
          <w:top w:w="105" w:type="dxa"/>
          <w:left w:w="150" w:type="dxa"/>
          <w:bottom w:w="105" w:type="dxa"/>
          <w:right w:w="150" w:type="dxa"/>
        </w:tblCellMar>
      </w:tblPr>
      <w:tblGrid>
        <w:gridCol w:w="4950"/>
        <w:gridCol w:w="4950"/>
      </w:tblGrid>
      <w:tr>
        <w:trPr>
          <w:tblHeader w:val="true"/>
        </w:trPr>
        <w:tc>
          <w:tcPr>
            <w:tcW w:w="4950" w:type="dxa"/>
            <w:tcBorders>
              <w:bottom w:val="single" w:sz="12" w:space="0" w:color="DDDDDD"/>
            </w:tcBorders>
            <w:shd w:fill="EDEDED" w:val="clear"/>
            <w:vAlign w:val="center"/>
          </w:tcPr>
          <w:p>
            <w:pPr>
              <w:pStyle w:val="Normal1"/>
              <w:spacing w:before="0" w:after="200"/>
              <w:jc w:val="center"/>
              <w:rPr/>
            </w:pPr>
            <w:r>
              <w:rPr>
                <w:rStyle w:val="Textoennegrita"/>
                <w:rFonts w:cs="Helvetica" w:ascii="Helvetica" w:hAnsi="Helvetica"/>
                <w:sz w:val="20"/>
                <w:szCs w:val="20"/>
              </w:rPr>
              <w:t>Distrito</w:t>
            </w:r>
          </w:p>
        </w:tc>
        <w:tc>
          <w:tcPr>
            <w:tcW w:w="4950" w:type="dxa"/>
            <w:tcBorders>
              <w:bottom w:val="single" w:sz="12" w:space="0" w:color="DDDDDD"/>
            </w:tcBorders>
            <w:shd w:fill="EDEDED" w:val="clear"/>
            <w:vAlign w:val="center"/>
          </w:tcPr>
          <w:p>
            <w:pPr>
              <w:pStyle w:val="Normal1"/>
              <w:spacing w:before="0" w:after="200"/>
              <w:jc w:val="center"/>
              <w:rPr/>
            </w:pPr>
            <w:r>
              <w:rPr>
                <w:rStyle w:val="Textoennegrita"/>
                <w:rFonts w:cs="Helvetica" w:ascii="Helvetica" w:hAnsi="Helvetica"/>
                <w:sz w:val="20"/>
                <w:szCs w:val="20"/>
              </w:rPr>
              <w:t>Concejal/a Presidente/a</w:t>
            </w:r>
          </w:p>
        </w:tc>
      </w:tr>
      <w:tr>
        <w:trPr/>
        <w:tc>
          <w:tcPr>
            <w:tcW w:w="4950" w:type="dxa"/>
            <w:tcBorders>
              <w:top w:val="single" w:sz="6" w:space="0" w:color="DDDDDD"/>
            </w:tcBorders>
            <w:vAlign w:val="center"/>
          </w:tcPr>
          <w:p>
            <w:pPr>
              <w:pStyle w:val="Normal1"/>
              <w:spacing w:before="0" w:after="200"/>
              <w:jc w:val="left"/>
              <w:rPr>
                <w:rFonts w:ascii="Helvetica" w:hAnsi="Helvetica" w:cs="Helvetica"/>
                <w:sz w:val="20"/>
                <w:szCs w:val="20"/>
              </w:rPr>
            </w:pPr>
            <w:r>
              <w:rPr>
                <w:rFonts w:cs="Helvetica" w:ascii="Helvetica" w:hAnsi="Helvetica"/>
                <w:sz w:val="20"/>
                <w:szCs w:val="20"/>
              </w:rPr>
              <w:t>Distrito Vegueta, Cono Sur y Tafira</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D.ª María del Carmen Vargas Palmés</w:t>
            </w:r>
          </w:p>
        </w:tc>
      </w:tr>
      <w:tr>
        <w:trPr/>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Centro</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 Pedro Que</w:t>
            </w:r>
            <w:r>
              <w:rPr>
                <w:rFonts w:cs="Helvetica" w:ascii="Helvetica" w:hAnsi="Helvetica"/>
                <w:sz w:val="20"/>
                <w:szCs w:val="20"/>
              </w:rPr>
              <w:t>v</w:t>
            </w:r>
            <w:r>
              <w:rPr>
                <w:rFonts w:cs="Helvetica" w:ascii="Helvetica" w:hAnsi="Helvetica"/>
                <w:sz w:val="20"/>
                <w:szCs w:val="20"/>
              </w:rPr>
              <w:t>edo Iturbe</w:t>
            </w:r>
          </w:p>
        </w:tc>
      </w:tr>
      <w:tr>
        <w:trPr/>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Isleta-Puerto–Guanarteme</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D.ª Carla Campoamor Abad</w:t>
            </w:r>
          </w:p>
        </w:tc>
      </w:tr>
      <w:tr>
        <w:trPr/>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Ciudad Alta</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 Josué Íñiguez Ollero</w:t>
            </w:r>
          </w:p>
        </w:tc>
      </w:tr>
      <w:tr>
        <w:trPr/>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Tamaraceite-San Lorenzo-Tenoya</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 Carlos Alberto Díaz Mendoza</w:t>
            </w:r>
          </w:p>
        </w:tc>
      </w:tr>
    </w:tbl>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Los concejales vicepresidentes de distritos sustituirán al concejal presidente respectivo en la totalidad de sus funciones en las circunstancias legalmente establecidas. </w:t>
      </w:r>
    </w:p>
    <w:p>
      <w:pPr>
        <w:pStyle w:val="NormalWeb"/>
        <w:shd w:fill="FFFFFF" w:val="clear"/>
        <w:spacing w:before="0" w:after="0"/>
        <w:jc w:val="both"/>
        <w:textAlignment w:val="baseline"/>
        <w:rPr/>
      </w:pPr>
      <w:r>
        <w:rPr>
          <w:rStyle w:val="Textoennegrita"/>
          <w:rFonts w:cs="Helvetica" w:ascii="Helvetica" w:hAnsi="Helvetica"/>
          <w:color w:val="333333"/>
          <w:sz w:val="20"/>
          <w:szCs w:val="20"/>
        </w:rPr>
        <w:t>Competencias de Presidentes y Vicepresidentes.</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Las establecidas en el artículo 16 del Reglamento Orgánico de los Distritos del Ayuntamiento de Las Palmas de Gran Canaria, así como las que les sean atribuidas por delegación de la alcaldesa y, en su caso, por la Junta de Gobierno de la Ciudad, en el ámbito de su respectivo distrito, y en los términos determinados en el ROGA. </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El ejercicio efectivo de las competencias atribuidas a cada concejal presidente comportará tanto la facultad de dirección del distrito correspondiente como su gestión, incluido dictar actos administrativos, que adoptarán la forma que establece el ROGA.</w:t>
      </w:r>
    </w:p>
    <w:p>
      <w:pPr>
        <w:pStyle w:val="NormalWeb"/>
        <w:shd w:fill="FFFFFF" w:val="clear"/>
        <w:spacing w:before="0" w:after="135"/>
        <w:textAlignment w:val="baseline"/>
        <w:rPr>
          <w:rFonts w:ascii="Helvetica" w:hAnsi="Helvetica" w:cs="Helvetica"/>
          <w:i/>
          <w:i/>
          <w:iCs/>
          <w:color w:val="333333"/>
          <w:sz w:val="20"/>
          <w:szCs w:val="20"/>
        </w:rPr>
      </w:pPr>
      <w:r>
        <w:rPr>
          <w:rFonts w:cs="Helvetica" w:ascii="Helvetica" w:hAnsi="Helvetica"/>
          <w:i/>
          <w:iCs/>
          <w:color w:val="333333"/>
          <w:sz w:val="20"/>
          <w:szCs w:val="20"/>
        </w:rPr>
        <w:t>Vocales</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Se establece para cada Distrito un número de vocales en función de la población que la integra conforme a la siguiente escala:</w:t>
      </w:r>
    </w:p>
    <w:p>
      <w:pPr>
        <w:pStyle w:val="Texto"/>
        <w:numPr>
          <w:ilvl w:val="0"/>
          <w:numId w:val="5"/>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Hasta 50.000 habitantes: 11 vocales.</w:t>
      </w:r>
    </w:p>
    <w:p>
      <w:pPr>
        <w:pStyle w:val="Texto"/>
        <w:numPr>
          <w:ilvl w:val="0"/>
          <w:numId w:val="5"/>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De 50.001 hasta 100.000 habitantes: 13 vocales.</w:t>
      </w:r>
    </w:p>
    <w:p>
      <w:pPr>
        <w:pStyle w:val="Texto"/>
        <w:numPr>
          <w:ilvl w:val="0"/>
          <w:numId w:val="5"/>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De 100.001 en adelante: 15 vocales.</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 determinación del número de vocales que corresponde a cada uno de los grupos políticos municipales, a efectos de que estos efectúen propuesta de nombramiento, es la siguiente:</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 </w:t>
      </w:r>
    </w:p>
    <w:p>
      <w:pPr>
        <w:pStyle w:val="NormalWeb"/>
        <w:shd w:fill="FFFFFF" w:val="clear"/>
        <w:spacing w:before="0" w:after="0"/>
        <w:jc w:val="both"/>
        <w:textAlignment w:val="baseline"/>
        <w:rPr/>
      </w:pPr>
      <w:r>
        <w:rPr>
          <w:rStyle w:val="Textoennegrita"/>
          <w:rFonts w:cs="Helvetica" w:ascii="Helvetica" w:hAnsi="Helvetica"/>
          <w:color w:val="333333"/>
          <w:sz w:val="20"/>
          <w:szCs w:val="20"/>
        </w:rPr>
        <w:t>Número de Vocales por G.P.M.</w:t>
      </w:r>
    </w:p>
    <w:tbl>
      <w:tblPr>
        <w:tblW w:w="9900" w:type="dxa"/>
        <w:jc w:val="left"/>
        <w:tblInd w:w="150" w:type="dxa"/>
        <w:tblCellMar>
          <w:top w:w="105" w:type="dxa"/>
          <w:left w:w="150" w:type="dxa"/>
          <w:bottom w:w="105" w:type="dxa"/>
          <w:right w:w="150" w:type="dxa"/>
        </w:tblCellMar>
      </w:tblPr>
      <w:tblGrid>
        <w:gridCol w:w="4714"/>
        <w:gridCol w:w="1256"/>
        <w:gridCol w:w="1080"/>
        <w:gridCol w:w="2850"/>
      </w:tblGrid>
      <w:tr>
        <w:trPr>
          <w:tblHeader w:val="true"/>
        </w:trPr>
        <w:tc>
          <w:tcPr>
            <w:tcW w:w="4714" w:type="dxa"/>
            <w:tcBorders>
              <w:bottom w:val="single" w:sz="12" w:space="0" w:color="DDDDDD"/>
            </w:tcBorders>
            <w:shd w:fill="EDEDED" w:val="clear"/>
            <w:vAlign w:val="center"/>
          </w:tcPr>
          <w:p>
            <w:pPr>
              <w:pStyle w:val="Normal1"/>
              <w:spacing w:before="0" w:after="200"/>
              <w:jc w:val="center"/>
              <w:rPr/>
            </w:pPr>
            <w:r>
              <w:rPr>
                <w:rStyle w:val="Textoennegrita"/>
                <w:rFonts w:cs="Helvetica" w:ascii="Helvetica" w:hAnsi="Helvetica"/>
                <w:sz w:val="20"/>
                <w:szCs w:val="20"/>
              </w:rPr>
              <w:t>Distrito</w:t>
            </w:r>
          </w:p>
        </w:tc>
        <w:tc>
          <w:tcPr>
            <w:tcW w:w="1256" w:type="dxa"/>
            <w:tcBorders>
              <w:bottom w:val="single" w:sz="12" w:space="0" w:color="DDDDDD"/>
            </w:tcBorders>
            <w:shd w:fill="EDEDED" w:val="clear"/>
            <w:vAlign w:val="center"/>
          </w:tcPr>
          <w:p>
            <w:pPr>
              <w:pStyle w:val="Normal1"/>
              <w:spacing w:before="0" w:after="200"/>
              <w:jc w:val="center"/>
              <w:rPr/>
            </w:pPr>
            <w:r>
              <w:rPr>
                <w:rStyle w:val="Textoennegrita"/>
                <w:rFonts w:cs="Helvetica" w:ascii="Helvetica" w:hAnsi="Helvetica"/>
                <w:sz w:val="20"/>
                <w:szCs w:val="20"/>
              </w:rPr>
              <w:t>Población a 1.1.2022</w:t>
            </w:r>
          </w:p>
        </w:tc>
        <w:tc>
          <w:tcPr>
            <w:tcW w:w="1080" w:type="dxa"/>
            <w:tcBorders>
              <w:bottom w:val="single" w:sz="12" w:space="0" w:color="DDDDDD"/>
            </w:tcBorders>
            <w:shd w:fill="EDEDED" w:val="clear"/>
            <w:vAlign w:val="center"/>
          </w:tcPr>
          <w:p>
            <w:pPr>
              <w:pStyle w:val="Normal1"/>
              <w:spacing w:before="0" w:after="200"/>
              <w:jc w:val="center"/>
              <w:rPr/>
            </w:pPr>
            <w:r>
              <w:rPr>
                <w:rStyle w:val="Textoennegrita"/>
                <w:rFonts w:cs="Helvetica" w:ascii="Helvetica" w:hAnsi="Helvetica"/>
                <w:sz w:val="20"/>
                <w:szCs w:val="20"/>
              </w:rPr>
              <w:t>Número de vocales</w:t>
            </w:r>
          </w:p>
        </w:tc>
        <w:tc>
          <w:tcPr>
            <w:tcW w:w="2850" w:type="dxa"/>
            <w:tcBorders>
              <w:bottom w:val="single" w:sz="12" w:space="0" w:color="DDDDDD"/>
            </w:tcBorders>
            <w:shd w:fill="EDEDED" w:val="clear"/>
            <w:vAlign w:val="center"/>
          </w:tcPr>
          <w:p>
            <w:pPr>
              <w:pStyle w:val="Normal1"/>
              <w:spacing w:before="0" w:after="200"/>
              <w:jc w:val="center"/>
              <w:rPr/>
            </w:pPr>
            <w:r>
              <w:rPr>
                <w:rStyle w:val="Textoennegrita"/>
                <w:rFonts w:cs="Helvetica" w:ascii="Helvetica" w:hAnsi="Helvetica"/>
                <w:sz w:val="20"/>
                <w:szCs w:val="20"/>
              </w:rPr>
              <w:t>Vocales por G.P.M.</w:t>
            </w:r>
          </w:p>
        </w:tc>
      </w:tr>
      <w:tr>
        <w:trPr/>
        <w:tc>
          <w:tcPr>
            <w:tcW w:w="4714" w:type="dxa"/>
            <w:vMerge w:val="restart"/>
            <w:tcBorders>
              <w:top w:val="single" w:sz="6" w:space="0" w:color="DDDDDD"/>
            </w:tcBorders>
            <w:vAlign w:val="center"/>
          </w:tcPr>
          <w:p>
            <w:pPr>
              <w:pStyle w:val="Normal1"/>
              <w:spacing w:before="0" w:after="200"/>
              <w:jc w:val="left"/>
              <w:rPr>
                <w:rFonts w:ascii="Helvetica" w:hAnsi="Helvetica" w:cs="Helvetica"/>
                <w:sz w:val="20"/>
                <w:szCs w:val="20"/>
              </w:rPr>
            </w:pPr>
            <w:r>
              <w:rPr>
                <w:rFonts w:cs="Helvetica" w:ascii="Helvetica" w:hAnsi="Helvetica"/>
                <w:sz w:val="20"/>
                <w:szCs w:val="20"/>
              </w:rPr>
              <w:t>Distrito Vegueta, Cono Sur y Tafira</w:t>
            </w:r>
          </w:p>
        </w:tc>
        <w:tc>
          <w:tcPr>
            <w:tcW w:w="1256"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67.929</w:t>
            </w:r>
          </w:p>
        </w:tc>
        <w:tc>
          <w:tcPr>
            <w:tcW w:w="1080"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13</w:t>
            </w:r>
          </w:p>
        </w:tc>
        <w:tc>
          <w:tcPr>
            <w:tcW w:w="2850" w:type="dxa"/>
            <w:tcBorders>
              <w:top w:val="single" w:sz="6" w:space="0" w:color="DDDDDD"/>
            </w:tcBorders>
            <w:vAlign w:val="center"/>
          </w:tcPr>
          <w:p>
            <w:pPr>
              <w:pStyle w:val="Normal1"/>
              <w:spacing w:before="0" w:after="200"/>
              <w:jc w:val="left"/>
              <w:rPr>
                <w:rFonts w:ascii="Helvetica" w:hAnsi="Helvetica" w:cs="Helvetica"/>
                <w:sz w:val="20"/>
                <w:szCs w:val="20"/>
              </w:rPr>
            </w:pPr>
            <w:r>
              <w:rPr>
                <w:rFonts w:cs="Helvetica" w:ascii="Helvetica" w:hAnsi="Helvetica"/>
                <w:sz w:val="20"/>
                <w:szCs w:val="20"/>
              </w:rPr>
              <w:t>Socialista: 5</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Popular: 4</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VOX: 2</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Mixto: 2</w:t>
            </w:r>
          </w:p>
        </w:tc>
      </w:tr>
      <w:tr>
        <w:trPr/>
        <w:tc>
          <w:tcPr>
            <w:tcW w:w="4714" w:type="dxa"/>
            <w:vMerge w:val="restart"/>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Centro</w:t>
            </w:r>
          </w:p>
        </w:tc>
        <w:tc>
          <w:tcPr>
            <w:tcW w:w="1256"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81.117</w:t>
            </w:r>
          </w:p>
        </w:tc>
        <w:tc>
          <w:tcPr>
            <w:tcW w:w="1080"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13</w:t>
            </w:r>
          </w:p>
        </w:tc>
        <w:tc>
          <w:tcPr>
            <w:tcW w:w="2850" w:type="dxa"/>
            <w:tcBorders>
              <w:top w:val="single" w:sz="6" w:space="0" w:color="DDDDDD"/>
            </w:tcBorders>
            <w:vAlign w:val="center"/>
          </w:tcPr>
          <w:p>
            <w:pPr>
              <w:pStyle w:val="Normal1"/>
              <w:spacing w:before="0" w:after="200"/>
              <w:jc w:val="left"/>
              <w:rPr>
                <w:rFonts w:ascii="Helvetica" w:hAnsi="Helvetica" w:cs="Helvetica"/>
                <w:sz w:val="20"/>
                <w:szCs w:val="20"/>
              </w:rPr>
            </w:pPr>
            <w:r>
              <w:rPr>
                <w:rFonts w:cs="Helvetica" w:ascii="Helvetica" w:hAnsi="Helvetica"/>
                <w:sz w:val="20"/>
                <w:szCs w:val="20"/>
              </w:rPr>
              <w:t>Socialista: 5</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Popular: 4</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VOX: 2</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Mixto: 2</w:t>
            </w:r>
          </w:p>
        </w:tc>
      </w:tr>
      <w:tr>
        <w:trPr/>
        <w:tc>
          <w:tcPr>
            <w:tcW w:w="4714" w:type="dxa"/>
            <w:vMerge w:val="restart"/>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Isleta-Puerto–Guanarteme</w:t>
            </w:r>
          </w:p>
        </w:tc>
        <w:tc>
          <w:tcPr>
            <w:tcW w:w="1256"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71.169</w:t>
            </w:r>
          </w:p>
        </w:tc>
        <w:tc>
          <w:tcPr>
            <w:tcW w:w="1080"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13</w:t>
            </w:r>
          </w:p>
        </w:tc>
        <w:tc>
          <w:tcPr>
            <w:tcW w:w="2850" w:type="dxa"/>
            <w:tcBorders>
              <w:top w:val="single" w:sz="6" w:space="0" w:color="DDDDDD"/>
            </w:tcBorders>
            <w:vAlign w:val="center"/>
          </w:tcPr>
          <w:p>
            <w:pPr>
              <w:pStyle w:val="Normal1"/>
              <w:spacing w:before="0" w:after="200"/>
              <w:jc w:val="left"/>
              <w:rPr>
                <w:rFonts w:ascii="Helvetica" w:hAnsi="Helvetica" w:cs="Helvetica"/>
                <w:sz w:val="20"/>
                <w:szCs w:val="20"/>
              </w:rPr>
            </w:pPr>
            <w:r>
              <w:rPr>
                <w:rFonts w:cs="Helvetica" w:ascii="Helvetica" w:hAnsi="Helvetica"/>
                <w:sz w:val="20"/>
                <w:szCs w:val="20"/>
              </w:rPr>
              <w:t>Socialista: 5</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Popular: 4</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VOX: 2</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Mixto: 2</w:t>
            </w:r>
          </w:p>
        </w:tc>
      </w:tr>
      <w:tr>
        <w:trPr/>
        <w:tc>
          <w:tcPr>
            <w:tcW w:w="4714" w:type="dxa"/>
            <w:vMerge w:val="restart"/>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Ciudad Alta</w:t>
            </w:r>
          </w:p>
        </w:tc>
        <w:tc>
          <w:tcPr>
            <w:tcW w:w="1256"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103.542</w:t>
            </w:r>
          </w:p>
        </w:tc>
        <w:tc>
          <w:tcPr>
            <w:tcW w:w="1080"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15</w:t>
            </w:r>
          </w:p>
        </w:tc>
        <w:tc>
          <w:tcPr>
            <w:tcW w:w="2850" w:type="dxa"/>
            <w:tcBorders>
              <w:top w:val="single" w:sz="6" w:space="0" w:color="DDDDDD"/>
            </w:tcBorders>
            <w:vAlign w:val="center"/>
          </w:tcPr>
          <w:p>
            <w:pPr>
              <w:pStyle w:val="Normal1"/>
              <w:spacing w:before="0" w:after="200"/>
              <w:jc w:val="left"/>
              <w:rPr>
                <w:rFonts w:ascii="Helvetica" w:hAnsi="Helvetica" w:cs="Helvetica"/>
                <w:sz w:val="20"/>
                <w:szCs w:val="20"/>
              </w:rPr>
            </w:pPr>
            <w:r>
              <w:rPr>
                <w:rFonts w:cs="Helvetica" w:ascii="Helvetica" w:hAnsi="Helvetica"/>
                <w:sz w:val="20"/>
                <w:szCs w:val="20"/>
              </w:rPr>
              <w:t>Socialista: 6</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Popular: 5</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VOX: 2</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Mixto: 2</w:t>
            </w:r>
          </w:p>
        </w:tc>
      </w:tr>
      <w:tr>
        <w:trPr/>
        <w:tc>
          <w:tcPr>
            <w:tcW w:w="4714" w:type="dxa"/>
            <w:vMerge w:val="restart"/>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Tamaraceite-San Lorenzo-Tenoya</w:t>
            </w:r>
          </w:p>
        </w:tc>
        <w:tc>
          <w:tcPr>
            <w:tcW w:w="1256"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55.040</w:t>
            </w:r>
          </w:p>
        </w:tc>
        <w:tc>
          <w:tcPr>
            <w:tcW w:w="1080"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13</w:t>
            </w:r>
          </w:p>
        </w:tc>
        <w:tc>
          <w:tcPr>
            <w:tcW w:w="2850" w:type="dxa"/>
            <w:tcBorders>
              <w:top w:val="single" w:sz="6" w:space="0" w:color="DDDDDD"/>
            </w:tcBorders>
            <w:vAlign w:val="center"/>
          </w:tcPr>
          <w:p>
            <w:pPr>
              <w:pStyle w:val="Normal1"/>
              <w:spacing w:before="0" w:after="200"/>
              <w:jc w:val="left"/>
              <w:rPr>
                <w:rFonts w:ascii="Helvetica" w:hAnsi="Helvetica" w:cs="Helvetica"/>
                <w:sz w:val="20"/>
                <w:szCs w:val="20"/>
              </w:rPr>
            </w:pPr>
            <w:r>
              <w:rPr>
                <w:rFonts w:cs="Helvetica" w:ascii="Helvetica" w:hAnsi="Helvetica"/>
                <w:sz w:val="20"/>
                <w:szCs w:val="20"/>
              </w:rPr>
              <w:t>Socialista: 5</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Popular: 4</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VOX: 2</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Mixto: 2</w:t>
            </w:r>
          </w:p>
        </w:tc>
      </w:tr>
    </w:tbl>
    <w:p>
      <w:pPr>
        <w:pStyle w:val="Ttulo2"/>
        <w:rPr>
          <w:rFonts w:ascii="Helvetica" w:hAnsi="Helvetica" w:cs="Helvetica"/>
          <w:sz w:val="20"/>
          <w:szCs w:val="20"/>
        </w:rPr>
      </w:pPr>
      <w:r>
        <w:rPr>
          <w:rFonts w:cs="Helvetica" w:ascii="Helvetica" w:hAnsi="Helvetica"/>
          <w:sz w:val="20"/>
          <w:szCs w:val="20"/>
        </w:rPr>
        <w:t>Sesiones</w:t>
      </w:r>
    </w:p>
    <w:p>
      <w:pPr>
        <w:pStyle w:val="Texto"/>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 Junta de distrito celebrará como mínimo con una sesión ordinaria cada dos meses, pudiendo convocarse sesiones extraordinarias siempre que fuese preciso, a iniciativa de cualquiera de los siguientes órganos o autoridades:</w:t>
      </w:r>
    </w:p>
    <w:p>
      <w:pPr>
        <w:pStyle w:val="Texto"/>
        <w:numPr>
          <w:ilvl w:val="0"/>
          <w:numId w:val="6"/>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El Concejal Presidente.</w:t>
      </w:r>
    </w:p>
    <w:p>
      <w:pPr>
        <w:pStyle w:val="Texto"/>
        <w:numPr>
          <w:ilvl w:val="0"/>
          <w:numId w:val="6"/>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La mayoría absoluta de los vocales.</w:t>
      </w:r>
    </w:p>
    <w:p>
      <w:pPr>
        <w:pStyle w:val="Texto"/>
        <w:numPr>
          <w:ilvl w:val="0"/>
          <w:numId w:val="6"/>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El Alcalde de la Corporación.</w:t>
      </w:r>
    </w:p>
    <w:p>
      <w:pPr>
        <w:pStyle w:val="Texto"/>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r>
    </w:p>
    <w:p>
      <w:pPr>
        <w:pStyle w:val="Ttulo2"/>
        <w:rPr>
          <w:rFonts w:ascii="Helvetica" w:hAnsi="Helvetica" w:cs="Helvetica"/>
          <w:sz w:val="20"/>
          <w:szCs w:val="20"/>
        </w:rPr>
      </w:pPr>
      <w:r>
        <w:rPr>
          <w:rFonts w:cs="Helvetica" w:ascii="Helvetica" w:hAnsi="Helvetica"/>
          <w:sz w:val="20"/>
          <w:szCs w:val="20"/>
        </w:rPr>
        <w:t>Atribuciones</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Seguimiento de la actuación municipal en el distrito.</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Acordar la elevación a otros órganos municipales de las aspiraciones del vecindario en materias de interés del distrito o que sean esenciales o relevantes para todo el municipio.</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Fomentar las relaciones del Ayuntamiento con todas las entidades asociativas del distrito.</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Fomentar los cauces de participación ciudadana en el Distrito.</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Promover la programación de los objetivos del distrito, los planes de actuación del mismo y la asignación de los recursos necesarios para su ejecución, de acuerdo con las normas presupuestarias correspondientes, pudiendo al efecto adoptar el acuerdo-propuesta que corresponda.</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Informar el proyecto anual de los Presupuestos Municipales, y especialmente de los proyectos y partidas que se gestionen directamente desde el Distrito.</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Trasladar a la Junta Local de Seguridad los problemas de seguridad ciudadana del Distrito</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Trasladar a la Administración competente por razón de la materia las propuestas de mejoras en los centros y equipamientos del Distrito, dando traslado a los órganos municipales que tienen atribuciones para satisfacerlas</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Proponer mejoras en la gestión de los equipamientos que dependen de las áreas de gobierno.</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Emitir su informe en la evaluación de la ejecución de los diferentes planes de actuación y proyectos municipales que tengan como ámbito el distrito, así como en el control de eficacia respecto de la actuación de los mismos.</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Formular propuestas de normas de régimen interno elevándolas al Pleno de la Corporación para su pertinente aprobación.</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Elevar propuestas de acuerdo para su consideración por los órganos colegiados municipales, así como de resoluciones de los órganos de gobierno unipersonales.</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Promover y ordenar la elaboración de estudios sobre las necesidades de los distritos en el respectivo ámbito territorial.</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Solicitar información a los órganos de gobierno del Ayuntamiento sobre antecedentes que tengan relación con las materias de su competencia.</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Examinar las peticiones e iniciativas individuales y colectivas de los vecinos y, tras emitir informe no vinculante, proponer a los órganos de gobierno municipal la solución que corresponda.</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Velar por que se facilite a todos los vecinos la máxima información y difusión de la gestión municipal en el distrito a través de los medios de comunicación y telemáticos que se estimen más convenientes.</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Aprobar el presupuesto del distrito, cuando le corresponda la distribución de los fondos asignados o, en su caso, formular la correspondiente propuesta al respecto.</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Garantizar la solidaridad y equilibrio entre los diversos barrios que integren su ámbito territorial de actuación</w:t>
      </w:r>
    </w:p>
    <w:p>
      <w:pPr>
        <w:pStyle w:val="NormalWeb"/>
        <w:shd w:fill="FFFFFF" w:val="clear"/>
        <w:spacing w:before="0" w:after="0"/>
        <w:jc w:val="both"/>
        <w:textAlignment w:val="baseline"/>
        <w:rPr>
          <w:rFonts w:ascii="Helvetica" w:hAnsi="Helvetica" w:cs="Helvetica"/>
          <w:color w:val="333333"/>
          <w:sz w:val="20"/>
          <w:szCs w:val="20"/>
        </w:rPr>
      </w:pPr>
      <w:r>
        <w:rPr>
          <w:rFonts w:cs="Helvetica" w:ascii="Helvetica" w:hAnsi="Helvetica"/>
          <w:color w:val="333333"/>
          <w:sz w:val="20"/>
          <w:szCs w:val="20"/>
        </w:rPr>
      </w:r>
    </w:p>
    <w:p>
      <w:pPr>
        <w:pStyle w:val="NormalWeb"/>
        <w:shd w:fill="FFFFFF" w:val="clear"/>
        <w:spacing w:before="0" w:after="0"/>
        <w:jc w:val="both"/>
        <w:textAlignment w:val="baseline"/>
        <w:rPr/>
      </w:pPr>
      <w:r>
        <w:rPr>
          <w:rStyle w:val="Fuentedeprrafopredeter"/>
          <w:rFonts w:cs="Helvetica" w:ascii="Helvetica" w:hAnsi="Helvetica"/>
          <w:color w:val="333333"/>
          <w:sz w:val="20"/>
          <w:szCs w:val="20"/>
        </w:rPr>
        <w:t>Más información: </w:t>
      </w:r>
      <w:hyperlink r:id="rId23" w:tgtFrame="_top">
        <w:r>
          <w:rPr>
            <w:rStyle w:val="EnlacedeInternet"/>
            <w:rFonts w:cs="Helvetica" w:ascii="Helvetica" w:hAnsi="Helvetica"/>
            <w:color w:val="00B1D1"/>
            <w:sz w:val="20"/>
            <w:szCs w:val="20"/>
          </w:rPr>
          <w:t>Ver</w:t>
        </w:r>
      </w:hyperlink>
    </w:p>
    <w:p>
      <w:pPr>
        <w:pStyle w:val="Normal1"/>
        <w:widowControl/>
        <w:shd w:fill="FFFFFF" w:val="clear"/>
        <w:suppressAutoHyphens w:val="false"/>
        <w:spacing w:lineRule="atLeast" w:line="300" w:before="0" w:after="135"/>
        <w:rPr>
          <w:rFonts w:ascii="Helvetica" w:hAnsi="Helvetica" w:eastAsia="Times New Roman" w:cs="Helvetica"/>
          <w:color w:val="333333"/>
          <w:kern w:val="0"/>
          <w:sz w:val="20"/>
          <w:szCs w:val="20"/>
          <w:lang w:eastAsia="es-ES" w:bidi="ar-SA"/>
        </w:rPr>
      </w:pPr>
      <w:r>
        <w:rPr>
          <w:rFonts w:eastAsia="Times New Roman" w:cs="Helvetica" w:ascii="Helvetica" w:hAnsi="Helvetica"/>
          <w:color w:val="333333"/>
          <w:kern w:val="0"/>
          <w:sz w:val="20"/>
          <w:szCs w:val="20"/>
          <w:lang w:eastAsia="es-ES" w:bidi="ar-SA"/>
        </w:rPr>
      </w:r>
    </w:p>
    <w:sectPr>
      <w:headerReference w:type="default" r:id="rId24"/>
      <w:footerReference w:type="default" r:id="rId25"/>
      <w:type w:val="nextPage"/>
      <w:pgSz w:w="11906" w:h="16838"/>
      <w:pgMar w:left="1134" w:right="1133" w:header="1417" w:top="2410" w:footer="624" w:bottom="181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swiss"/>
    <w:pitch w:val="variable"/>
  </w:font>
  <w:font w:name="Segoe UI">
    <w:charset w:val="00"/>
    <w:family w:val="swiss"/>
    <w:pitch w:val="variable"/>
  </w:font>
  <w:font w:name="Courier New">
    <w:charset w:val="00"/>
    <w:family w:val="modern"/>
    <w:pitch w:val="fixed"/>
  </w:font>
  <w:font w:name="Wingdings">
    <w:charset w:val="02"/>
    <w:family w:val="auto"/>
    <w:pitch w:val="variable"/>
  </w:font>
  <w:font w:name="Liberation Sans">
    <w:altName w:val="Arial"/>
    <w:charset w:val="00"/>
    <w:family w:val="swiss"/>
    <w:pitch w:val="variable"/>
  </w:font>
  <w:font w:name="Calibri">
    <w:charset w:val="00"/>
    <w:family w:val="swiss"/>
    <w:pitch w:val="variable"/>
  </w:font>
  <w:font w:name="Helvetica">
    <w:altName w:val="Arial"/>
    <w:charset w:val="00"/>
    <w:family w:val="swiss"/>
    <w:pitch w:val="variable"/>
  </w:font>
  <w:font w:name="inherit">
    <w:charset w:val="00"/>
    <w:family w:val="roman"/>
    <w:pitch w:val="default"/>
  </w:font>
  <w:font w:name="Humnst777 BT">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rFonts w:ascii="Calibri" w:hAnsi="Calibri" w:cs="Calibri"/>
        <w:sz w:val="16"/>
        <w:szCs w:val="16"/>
      </w:rPr>
    </w:pPr>
    <w:r>
      <w:rPr>
        <w:rFonts w:cs="Calibri" w:ascii="Calibri" w:hAnsi="Calibri"/>
        <w:sz w:val="16"/>
        <w:szCs w:val="16"/>
      </w:rPr>
    </w:r>
  </w:p>
  <w:p>
    <w:pPr>
      <w:pStyle w:val="Piedepgina"/>
      <w:rPr>
        <w:rFonts w:ascii="Calibri" w:hAnsi="Calibri" w:cs="Calibri"/>
        <w:sz w:val="16"/>
        <w:szCs w:val="16"/>
      </w:rPr>
    </w:pPr>
    <w:r>
      <w:rPr>
        <w:rFonts w:cs="Calibri" w:ascii="Calibri" w:hAnsi="Calibri"/>
        <w:sz w:val="16"/>
        <w:szCs w:val="16"/>
      </w:rPr>
    </w:r>
  </w:p>
  <w:tbl>
    <w:tblPr>
      <w:tblW w:w="9412" w:type="dxa"/>
      <w:jc w:val="left"/>
      <w:tblInd w:w="0" w:type="dxa"/>
      <w:tblCellMar>
        <w:top w:w="0" w:type="dxa"/>
        <w:left w:w="0" w:type="dxa"/>
        <w:bottom w:w="0" w:type="dxa"/>
        <w:right w:w="0" w:type="dxa"/>
      </w:tblCellMar>
    </w:tblPr>
    <w:tblGrid>
      <w:gridCol w:w="7932"/>
      <w:gridCol w:w="1480"/>
    </w:tblGrid>
    <w:tr>
      <w:trPr/>
      <w:tc>
        <w:tcPr>
          <w:tcW w:w="7932" w:type="dxa"/>
          <w:tcBorders>
            <w:top w:val="single" w:sz="4" w:space="0" w:color="000000"/>
          </w:tcBorders>
        </w:tcPr>
        <w:p>
          <w:pPr>
            <w:pStyle w:val="Piedepgina"/>
            <w:rPr>
              <w:rFonts w:ascii="Calibri" w:hAnsi="Calibri" w:cs="Calibri"/>
              <w:sz w:val="16"/>
              <w:szCs w:val="16"/>
            </w:rPr>
          </w:pPr>
          <w:r>
            <w:rPr>
              <w:rFonts w:cs="Calibri" w:ascii="Calibri" w:hAnsi="Calibri"/>
              <w:sz w:val="16"/>
              <w:szCs w:val="16"/>
            </w:rPr>
            <w:t>c/ León y castillo, nº 270, 2ª planta | 35005 Las Palmas de Gran Canaria</w:t>
          </w:r>
        </w:p>
      </w:tc>
      <w:tc>
        <w:tcPr>
          <w:tcW w:w="1480" w:type="dxa"/>
          <w:tcBorders>
            <w:top w:val="single" w:sz="4" w:space="0" w:color="000000"/>
          </w:tcBorders>
        </w:tcPr>
        <w:p>
          <w:pPr>
            <w:pStyle w:val="Piedepgina"/>
            <w:jc w:val="right"/>
            <w:rPr/>
          </w:pPr>
          <w:r>
            <w:rPr>
              <w:rStyle w:val="Fuentedeprrafopredeter"/>
              <w:rFonts w:cs="Calibri" w:ascii="Calibri" w:hAnsi="Calibri"/>
              <w:sz w:val="16"/>
              <w:szCs w:val="16"/>
            </w:rPr>
            <w:t xml:space="preserve">Página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PAGE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6</w:t>
          </w:r>
          <w:r>
            <w:rPr>
              <w:rStyle w:val="Fuentedeprrafopredeter"/>
              <w:sz w:val="16"/>
              <w:szCs w:val="16"/>
              <w:rFonts w:cs="Calibri" w:ascii="Calibri" w:hAnsi="Calibri"/>
            </w:rPr>
            <w:fldChar w:fldCharType="end"/>
          </w:r>
          <w:r>
            <w:rPr>
              <w:rStyle w:val="Fuentedeprrafopredeter"/>
              <w:rFonts w:cs="Calibri" w:ascii="Calibri" w:hAnsi="Calibri"/>
              <w:sz w:val="16"/>
              <w:szCs w:val="16"/>
            </w:rPr>
            <w:t xml:space="preserve"> de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NUMPAGES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6</w:t>
          </w:r>
          <w:r>
            <w:rPr>
              <w:rStyle w:val="Fuentedeprrafopredeter"/>
              <w:sz w:val="16"/>
              <w:szCs w:val="16"/>
              <w:rFonts w:cs="Calibri" w:ascii="Calibri" w:hAnsi="Calibri"/>
            </w:rPr>
            <w:fldChar w:fldCharType="end"/>
          </w:r>
        </w:p>
      </w:tc>
    </w:tr>
    <w:tr>
      <w:trPr/>
      <w:tc>
        <w:tcPr>
          <w:tcW w:w="7932" w:type="dxa"/>
          <w:tcBorders/>
        </w:tcPr>
        <w:p>
          <w:pPr>
            <w:pStyle w:val="Piedepgina"/>
            <w:rPr>
              <w:rFonts w:ascii="Calibri" w:hAnsi="Calibri" w:cs="Calibri"/>
              <w:sz w:val="16"/>
              <w:szCs w:val="16"/>
            </w:rPr>
          </w:pPr>
          <w:r>
            <w:rPr>
              <w:rFonts w:cs="Calibri" w:ascii="Calibri" w:hAnsi="Calibri"/>
              <w:sz w:val="16"/>
              <w:szCs w:val="16"/>
            </w:rPr>
            <w:t>Teléfono 928 446 698</w:t>
          </w:r>
        </w:p>
      </w:tc>
      <w:tc>
        <w:tcPr>
          <w:tcW w:w="1480" w:type="dxa"/>
          <w:tcBorders/>
        </w:tcPr>
        <w:p>
          <w:pPr>
            <w:pStyle w:val="Piedepgina"/>
            <w:rPr>
              <w:rFonts w:ascii="Calibri" w:hAnsi="Calibri" w:cs="Calibri"/>
              <w:sz w:val="16"/>
              <w:szCs w:val="16"/>
            </w:rPr>
          </w:pPr>
          <w:r>
            <w:rPr>
              <w:rFonts w:cs="Calibri" w:ascii="Calibri" w:hAnsi="Calibri"/>
              <w:sz w:val="16"/>
              <w:szCs w:val="16"/>
            </w:rPr>
          </w:r>
        </w:p>
      </w:tc>
    </w:tr>
    <w:tr>
      <w:trPr/>
      <w:tc>
        <w:tcPr>
          <w:tcW w:w="7932" w:type="dxa"/>
          <w:tcBorders/>
        </w:tcPr>
        <w:p>
          <w:pPr>
            <w:pStyle w:val="Piedepgina"/>
            <w:rPr>
              <w:rFonts w:ascii="Calibri" w:hAnsi="Calibri" w:cs="Calibri"/>
              <w:sz w:val="16"/>
              <w:szCs w:val="16"/>
            </w:rPr>
          </w:pPr>
          <w:r>
            <w:rPr>
              <w:rFonts w:cs="Calibri" w:ascii="Calibri" w:hAnsi="Calibri"/>
              <w:sz w:val="16"/>
              <w:szCs w:val="16"/>
            </w:rPr>
            <w:t>transparencia@laspalmasgc.es | www.laspalmasgc.es</w:t>
          </w:r>
        </w:p>
      </w:tc>
      <w:tc>
        <w:tcPr>
          <w:tcW w:w="1480" w:type="dxa"/>
          <w:tcBorders/>
        </w:tcPr>
        <w:p>
          <w:pPr>
            <w:pStyle w:val="Piedepgina"/>
            <w:rPr>
              <w:rFonts w:ascii="Calibri" w:hAnsi="Calibri" w:cs="Calibri"/>
              <w:sz w:val="16"/>
              <w:szCs w:val="16"/>
            </w:rPr>
          </w:pPr>
          <w:r>
            <w:rPr>
              <w:rFonts w:cs="Calibri" w:ascii="Calibri" w:hAnsi="Calibri"/>
              <w:sz w:val="16"/>
              <w:szCs w:val="16"/>
            </w:rPr>
          </w:r>
        </w:p>
      </w:tc>
    </w:tr>
  </w:tbl>
  <w:p>
    <w:pPr>
      <w:pStyle w:val="Piedepgina"/>
      <w:rPr>
        <w:rFonts w:ascii="Calibri" w:hAnsi="Calibri" w:cs="Calibri"/>
        <w:sz w:val="12"/>
        <w:szCs w:val="12"/>
      </w:rPr>
    </w:pPr>
    <w:r>
      <w:rPr>
        <w:rFonts w:cs="Calibri" w:ascii="Calibri" w:hAnsi="Calibri"/>
        <w:sz w:val="12"/>
        <w:szCs w:val="1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clear" w:pos="737"/>
        <w:tab w:val="right" w:pos="10573" w:leader="none"/>
      </w:tabs>
      <w:rPr>
        <w:rStyle w:val="Fuentedeprrafopredeter"/>
        <w:rFonts w:ascii="Humnst777 BT" w:hAnsi="Humnst777 BT"/>
        <w:color w:val="009933"/>
        <w:sz w:val="14"/>
        <w:szCs w:val="14"/>
        <w:lang w:eastAsia="es-ES" w:bidi="ar-SA"/>
      </w:rPr>
    </w:pPr>
    <w:r>
      <w:rPr/>
      <w:drawing>
        <wp:anchor behindDoc="0" distT="0" distB="0" distL="0" distR="0" simplePos="0" locked="0" layoutInCell="1" allowOverlap="1" relativeHeight="7">
          <wp:simplePos x="0" y="0"/>
          <wp:positionH relativeFrom="column">
            <wp:posOffset>0</wp:posOffset>
          </wp:positionH>
          <wp:positionV relativeFrom="paragraph">
            <wp:posOffset>-503555</wp:posOffset>
          </wp:positionV>
          <wp:extent cx="1325245" cy="478155"/>
          <wp:effectExtent l="0" t="0" r="0" b="0"/>
          <wp:wrapNone/>
          <wp:docPr id="1" name="Form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1" descr=""/>
                  <pic:cNvPicPr>
                    <a:picLocks noChangeAspect="1" noChangeArrowheads="1"/>
                  </pic:cNvPicPr>
                </pic:nvPicPr>
                <pic:blipFill>
                  <a:blip r:embed="rId1"/>
                  <a:stretch>
                    <a:fillRect/>
                  </a:stretch>
                </pic:blipFill>
                <pic:spPr bwMode="auto">
                  <a:xfrm>
                    <a:off x="0" y="0"/>
                    <a:ext cx="1325245" cy="478155"/>
                  </a:xfrm>
                  <a:prstGeom prst="rect">
                    <a:avLst/>
                  </a:prstGeom>
                </pic:spPr>
              </pic:pic>
            </a:graphicData>
          </a:graphic>
        </wp:anchor>
      </w:drawing>
    </w:r>
  </w:p>
  <w:p>
    <w:pPr>
      <w:pStyle w:val="Normal"/>
      <w:widowControl/>
      <w:tabs>
        <w:tab w:val="clear" w:pos="737"/>
        <w:tab w:val="right" w:pos="10573" w:leader="none"/>
      </w:tabs>
      <w:rPr>
        <w:rFonts w:ascii="Humnst777 BT" w:hAnsi="Humnst777 BT"/>
        <w:color w:val="003399"/>
        <w:sz w:val="14"/>
        <w:szCs w:val="14"/>
      </w:rPr>
    </w:pPr>
    <w:r>
      <w:rPr>
        <w:rFonts w:ascii="Humnst777 BT" w:hAnsi="Humnst777 BT"/>
        <w:color w:val="003399"/>
        <w:sz w:val="14"/>
        <w:szCs w:val="14"/>
      </w:rPr>
    </w:r>
  </w:p>
  <w:p>
    <w:pPr>
      <w:pStyle w:val="Normal"/>
      <w:widowControl/>
      <w:tabs>
        <w:tab w:val="clear" w:pos="737"/>
        <w:tab w:val="right" w:pos="10573" w:leader="none"/>
      </w:tabs>
      <w:rPr>
        <w:rFonts w:ascii="Humnst777 BT" w:hAnsi="Humnst777 BT"/>
        <w:color w:val="003399"/>
        <w:sz w:val="14"/>
        <w:szCs w:val="14"/>
      </w:rPr>
    </w:pPr>
    <w:r>
      <w:rPr>
        <w:rFonts w:ascii="Humnst777 BT" w:hAnsi="Humnst777 BT"/>
        <w:color w:val="003399"/>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pStyle w:val="Ttulo2"/>
      <w:numFmt w:val="decimal"/>
      <w:lvlText w:val="%2ª.- "/>
      <w:lvlJc w:val="left"/>
      <w:pPr>
        <w:tabs>
          <w:tab w:val="num" w:pos="0"/>
        </w:tabs>
        <w:ind w:left="720" w:hanging="36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37"/>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s-ES"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s-ES" w:eastAsia="zh-CN" w:bidi="hi-IN"/>
    </w:rPr>
  </w:style>
  <w:style w:type="paragraph" w:styleId="Ttulo1">
    <w:name w:val="Heading 1"/>
    <w:basedOn w:val="Normal1"/>
    <w:next w:val="Cuerpodetexto"/>
    <w:qFormat/>
    <w:pPr>
      <w:numPr>
        <w:ilvl w:val="0"/>
        <w:numId w:val="1"/>
      </w:numPr>
      <w:suppressAutoHyphens w:val="true"/>
      <w:spacing w:before="0" w:after="360"/>
      <w:jc w:val="center"/>
      <w:outlineLvl w:val="0"/>
    </w:pPr>
    <w:rPr>
      <w:b/>
      <w:bCs/>
    </w:rPr>
  </w:style>
  <w:style w:type="paragraph" w:styleId="Ttulo2">
    <w:name w:val="Heading 2"/>
    <w:basedOn w:val="Prrafodelista"/>
    <w:next w:val="Cuerpodetexto"/>
    <w:qFormat/>
    <w:pPr>
      <w:numPr>
        <w:ilvl w:val="1"/>
        <w:numId w:val="1"/>
      </w:numPr>
      <w:suppressAutoHyphens w:val="true"/>
      <w:outlineLvl w:val="1"/>
    </w:pPr>
    <w:rPr>
      <w:b/>
      <w:bCs/>
    </w:rPr>
  </w:style>
  <w:style w:type="paragraph" w:styleId="Ttulo3">
    <w:name w:val="Heading 3"/>
    <w:basedOn w:val="Ttulo"/>
    <w:next w:val="Cuerpodetexto"/>
    <w:qFormat/>
    <w:pPr>
      <w:numPr>
        <w:ilvl w:val="2"/>
        <w:numId w:val="1"/>
      </w:numPr>
      <w:suppressAutoHyphens w:val="true"/>
      <w:spacing w:before="140" w:after="0"/>
      <w:outlineLvl w:val="2"/>
    </w:pPr>
    <w:rPr>
      <w:b/>
      <w:bCs/>
    </w:rPr>
  </w:style>
  <w:style w:type="paragraph" w:styleId="Ttulo4">
    <w:name w:val="Heading 4"/>
    <w:basedOn w:val="Normal1"/>
    <w:next w:val="Normal1"/>
    <w:qFormat/>
    <w:pPr>
      <w:keepNext w:val="true"/>
      <w:keepLines/>
      <w:numPr>
        <w:ilvl w:val="3"/>
        <w:numId w:val="1"/>
      </w:numPr>
      <w:suppressAutoHyphens w:val="true"/>
      <w:spacing w:before="40" w:after="0"/>
      <w:outlineLvl w:val="3"/>
    </w:pPr>
    <w:rPr>
      <w:rFonts w:ascii="Calibri Light" w:hAnsi="Calibri Light" w:eastAsia="Times New Roman" w:cs="Mangal"/>
      <w:i/>
      <w:iCs/>
      <w:color w:val="2F5496"/>
    </w:rPr>
  </w:style>
  <w:style w:type="character" w:styleId="Fuentedeprrafopredeter">
    <w:name w:val="Fuente de párrafo predeter."/>
    <w:qFormat/>
    <w:rPr/>
  </w:style>
  <w:style w:type="character" w:styleId="Nfasis">
    <w:name w:val="Énfasis"/>
    <w:basedOn w:val="Fuentedeprrafopredeter"/>
    <w:qFormat/>
    <w:rPr>
      <w:i/>
      <w:iCs/>
    </w:rPr>
  </w:style>
  <w:style w:type="character" w:styleId="TextodegloboCar">
    <w:name w:val="Texto de globo Car"/>
    <w:basedOn w:val="Fuentedeprrafopredeter"/>
    <w:qFormat/>
    <w:rPr>
      <w:rFonts w:ascii="Segoe UI" w:hAnsi="Segoe UI" w:cs="Mangal"/>
      <w:sz w:val="18"/>
      <w:szCs w:val="16"/>
    </w:rPr>
  </w:style>
  <w:style w:type="character" w:styleId="PiedepginaCar">
    <w:name w:val="Pie de página Car"/>
    <w:basedOn w:val="Fuentedeprrafopredeter"/>
    <w:qFormat/>
    <w:rPr/>
  </w:style>
  <w:style w:type="character" w:styleId="Ttulo4Car">
    <w:name w:val="Título 4 Car"/>
    <w:basedOn w:val="Fuentedeprrafopredeter"/>
    <w:qFormat/>
    <w:rPr>
      <w:rFonts w:ascii="Calibri Light" w:hAnsi="Calibri Light" w:eastAsia="Times New Roman" w:cs="Mangal"/>
      <w:i/>
      <w:iCs/>
      <w:color w:val="2F5496"/>
      <w:sz w:val="22"/>
    </w:rPr>
  </w:style>
  <w:style w:type="character" w:styleId="Textoennegrita">
    <w:name w:val="Texto en negrita"/>
    <w:basedOn w:val="Fuentedeprrafopredeter"/>
    <w:qFormat/>
    <w:rPr>
      <w:b/>
      <w:bCs/>
    </w:rPr>
  </w:style>
  <w:style w:type="character" w:styleId="Hipervnculo">
    <w:name w:val="Hipervínculo"/>
    <w:basedOn w:val="Fuentedeprrafopredeter"/>
    <w:qFormat/>
    <w:rPr>
      <w:color w:val="0000FF"/>
      <w:u w:val="single"/>
    </w:rPr>
  </w:style>
  <w:style w:type="character" w:styleId="Bold">
    <w:name w:val="bold"/>
    <w:basedOn w:val="Fuentedeprrafopredeter"/>
    <w:qFormat/>
    <w:rPr/>
  </w:style>
  <w:style w:type="character" w:styleId="Destacadointerior1">
    <w:name w:val="destacado-interior1"/>
    <w:basedOn w:val="Fuentedeprrafopredeter"/>
    <w:qFormat/>
    <w:rPr/>
  </w:style>
  <w:style w:type="character" w:styleId="Hipervnculovisitado">
    <w:name w:val="Hipervínculo visitado"/>
    <w:basedOn w:val="Fuentedeprrafopredeter"/>
    <w:qFormat/>
    <w:rPr>
      <w:color w:val="96607D"/>
      <w:u w:val="single"/>
    </w:rPr>
  </w:style>
  <w:style w:type="character" w:styleId="WWCharLFO3LVL1">
    <w:name w:val="WW_CharLFO3LVL1"/>
    <w:qFormat/>
    <w:rPr>
      <w:rFonts w:ascii="Symbol" w:hAnsi="Symbol"/>
      <w:sz w:val="20"/>
    </w:rPr>
  </w:style>
  <w:style w:type="character" w:styleId="WWCharLFO3LVL2">
    <w:name w:val="WW_CharLFO3LVL2"/>
    <w:qFormat/>
    <w:rPr>
      <w:rFonts w:ascii="Courier New" w:hAnsi="Courier New"/>
      <w:sz w:val="20"/>
    </w:rPr>
  </w:style>
  <w:style w:type="character" w:styleId="WWCharLFO3LVL3">
    <w:name w:val="WW_CharLFO3LVL3"/>
    <w:qFormat/>
    <w:rPr>
      <w:rFonts w:ascii="Wingdings" w:hAnsi="Wingdings"/>
      <w:sz w:val="20"/>
    </w:rPr>
  </w:style>
  <w:style w:type="character" w:styleId="WWCharLFO3LVL4">
    <w:name w:val="WW_CharLFO3LVL4"/>
    <w:qFormat/>
    <w:rPr>
      <w:rFonts w:ascii="Wingdings" w:hAnsi="Wingdings"/>
      <w:sz w:val="20"/>
    </w:rPr>
  </w:style>
  <w:style w:type="character" w:styleId="WWCharLFO3LVL5">
    <w:name w:val="WW_CharLFO3LVL5"/>
    <w:qFormat/>
    <w:rPr>
      <w:rFonts w:ascii="Wingdings" w:hAnsi="Wingdings"/>
      <w:sz w:val="20"/>
    </w:rPr>
  </w:style>
  <w:style w:type="character" w:styleId="WWCharLFO3LVL6">
    <w:name w:val="WW_CharLFO3LVL6"/>
    <w:qFormat/>
    <w:rPr>
      <w:rFonts w:ascii="Wingdings" w:hAnsi="Wingdings"/>
      <w:sz w:val="20"/>
    </w:rPr>
  </w:style>
  <w:style w:type="character" w:styleId="WWCharLFO3LVL7">
    <w:name w:val="WW_CharLFO3LVL7"/>
    <w:qFormat/>
    <w:rPr>
      <w:rFonts w:ascii="Wingdings" w:hAnsi="Wingdings"/>
      <w:sz w:val="20"/>
    </w:rPr>
  </w:style>
  <w:style w:type="character" w:styleId="WWCharLFO3LVL8">
    <w:name w:val="WW_CharLFO3LVL8"/>
    <w:qFormat/>
    <w:rPr>
      <w:rFonts w:ascii="Wingdings" w:hAnsi="Wingdings"/>
      <w:sz w:val="20"/>
    </w:rPr>
  </w:style>
  <w:style w:type="character" w:styleId="WWCharLFO3LVL9">
    <w:name w:val="WW_CharLFO3LVL9"/>
    <w:qFormat/>
    <w:rPr>
      <w:rFonts w:ascii="Wingdings" w:hAnsi="Wingdings"/>
      <w:sz w:val="20"/>
    </w:rPr>
  </w:style>
  <w:style w:type="character" w:styleId="WWCharLFO4LVL1">
    <w:name w:val="WW_CharLFO4LVL1"/>
    <w:qFormat/>
    <w:rPr>
      <w:rFonts w:ascii="Symbol" w:hAnsi="Symbol"/>
      <w:sz w:val="20"/>
    </w:rPr>
  </w:style>
  <w:style w:type="character" w:styleId="WWCharLFO4LVL2">
    <w:name w:val="WW_CharLFO4LVL2"/>
    <w:qFormat/>
    <w:rPr>
      <w:rFonts w:ascii="Courier New" w:hAnsi="Courier New"/>
      <w:sz w:val="20"/>
    </w:rPr>
  </w:style>
  <w:style w:type="character" w:styleId="WWCharLFO4LVL3">
    <w:name w:val="WW_CharLFO4LVL3"/>
    <w:qFormat/>
    <w:rPr>
      <w:rFonts w:ascii="Wingdings" w:hAnsi="Wingdings"/>
      <w:sz w:val="20"/>
    </w:rPr>
  </w:style>
  <w:style w:type="character" w:styleId="WWCharLFO4LVL4">
    <w:name w:val="WW_CharLFO4LVL4"/>
    <w:qFormat/>
    <w:rPr>
      <w:rFonts w:ascii="Wingdings" w:hAnsi="Wingdings"/>
      <w:sz w:val="20"/>
    </w:rPr>
  </w:style>
  <w:style w:type="character" w:styleId="WWCharLFO4LVL5">
    <w:name w:val="WW_CharLFO4LVL5"/>
    <w:qFormat/>
    <w:rPr>
      <w:rFonts w:ascii="Wingdings" w:hAnsi="Wingdings"/>
      <w:sz w:val="20"/>
    </w:rPr>
  </w:style>
  <w:style w:type="character" w:styleId="WWCharLFO4LVL6">
    <w:name w:val="WW_CharLFO4LVL6"/>
    <w:qFormat/>
    <w:rPr>
      <w:rFonts w:ascii="Wingdings" w:hAnsi="Wingdings"/>
      <w:sz w:val="20"/>
    </w:rPr>
  </w:style>
  <w:style w:type="character" w:styleId="WWCharLFO4LVL7">
    <w:name w:val="WW_CharLFO4LVL7"/>
    <w:qFormat/>
    <w:rPr>
      <w:rFonts w:ascii="Wingdings" w:hAnsi="Wingdings"/>
      <w:sz w:val="20"/>
    </w:rPr>
  </w:style>
  <w:style w:type="character" w:styleId="WWCharLFO4LVL8">
    <w:name w:val="WW_CharLFO4LVL8"/>
    <w:qFormat/>
    <w:rPr>
      <w:rFonts w:ascii="Wingdings" w:hAnsi="Wingdings"/>
      <w:sz w:val="20"/>
    </w:rPr>
  </w:style>
  <w:style w:type="character" w:styleId="WWCharLFO4LVL9">
    <w:name w:val="WW_CharLFO4LVL9"/>
    <w:qFormat/>
    <w:rPr>
      <w:rFonts w:ascii="Wingdings" w:hAnsi="Wingdings"/>
      <w:sz w:val="20"/>
    </w:rPr>
  </w:style>
  <w:style w:type="character" w:styleId="WWCharLFO5LVL1">
    <w:name w:val="WW_CharLFO5LVL1"/>
    <w:qFormat/>
    <w:rPr>
      <w:rFonts w:ascii="Symbol" w:hAnsi="Symbol"/>
      <w:sz w:val="20"/>
    </w:rPr>
  </w:style>
  <w:style w:type="character" w:styleId="WWCharLFO5LVL2">
    <w:name w:val="WW_CharLFO5LVL2"/>
    <w:qFormat/>
    <w:rPr>
      <w:rFonts w:ascii="Courier New" w:hAnsi="Courier New"/>
      <w:sz w:val="20"/>
    </w:rPr>
  </w:style>
  <w:style w:type="character" w:styleId="WWCharLFO5LVL3">
    <w:name w:val="WW_CharLFO5LVL3"/>
    <w:qFormat/>
    <w:rPr>
      <w:rFonts w:ascii="Wingdings" w:hAnsi="Wingdings"/>
      <w:sz w:val="20"/>
    </w:rPr>
  </w:style>
  <w:style w:type="character" w:styleId="WWCharLFO5LVL4">
    <w:name w:val="WW_CharLFO5LVL4"/>
    <w:qFormat/>
    <w:rPr>
      <w:rFonts w:ascii="Wingdings" w:hAnsi="Wingdings"/>
      <w:sz w:val="20"/>
    </w:rPr>
  </w:style>
  <w:style w:type="character" w:styleId="WWCharLFO5LVL5">
    <w:name w:val="WW_CharLFO5LVL5"/>
    <w:qFormat/>
    <w:rPr>
      <w:rFonts w:ascii="Wingdings" w:hAnsi="Wingdings"/>
      <w:sz w:val="20"/>
    </w:rPr>
  </w:style>
  <w:style w:type="character" w:styleId="WWCharLFO5LVL6">
    <w:name w:val="WW_CharLFO5LVL6"/>
    <w:qFormat/>
    <w:rPr>
      <w:rFonts w:ascii="Wingdings" w:hAnsi="Wingdings"/>
      <w:sz w:val="20"/>
    </w:rPr>
  </w:style>
  <w:style w:type="character" w:styleId="WWCharLFO5LVL7">
    <w:name w:val="WW_CharLFO5LVL7"/>
    <w:qFormat/>
    <w:rPr>
      <w:rFonts w:ascii="Wingdings" w:hAnsi="Wingdings"/>
      <w:sz w:val="20"/>
    </w:rPr>
  </w:style>
  <w:style w:type="character" w:styleId="WWCharLFO5LVL8">
    <w:name w:val="WW_CharLFO5LVL8"/>
    <w:qFormat/>
    <w:rPr>
      <w:rFonts w:ascii="Wingdings" w:hAnsi="Wingdings"/>
      <w:sz w:val="20"/>
    </w:rPr>
  </w:style>
  <w:style w:type="character" w:styleId="WWCharLFO5LVL9">
    <w:name w:val="WW_CharLFO5LVL9"/>
    <w:qFormat/>
    <w:rPr>
      <w:rFonts w:ascii="Wingdings" w:hAnsi="Wingdings"/>
      <w:sz w:val="20"/>
    </w:rPr>
  </w:style>
  <w:style w:type="character" w:styleId="WWCharLFO6LVL1">
    <w:name w:val="WW_CharLFO6LVL1"/>
    <w:qFormat/>
    <w:rPr>
      <w:rFonts w:ascii="Symbol" w:hAnsi="Symbol"/>
      <w:sz w:val="20"/>
    </w:rPr>
  </w:style>
  <w:style w:type="character" w:styleId="WWCharLFO6LVL2">
    <w:name w:val="WW_CharLFO6LVL2"/>
    <w:qFormat/>
    <w:rPr>
      <w:rFonts w:ascii="Courier New" w:hAnsi="Courier New"/>
      <w:sz w:val="20"/>
    </w:rPr>
  </w:style>
  <w:style w:type="character" w:styleId="WWCharLFO6LVL3">
    <w:name w:val="WW_CharLFO6LVL3"/>
    <w:qFormat/>
    <w:rPr>
      <w:rFonts w:ascii="Wingdings" w:hAnsi="Wingdings"/>
      <w:sz w:val="20"/>
    </w:rPr>
  </w:style>
  <w:style w:type="character" w:styleId="WWCharLFO6LVL4">
    <w:name w:val="WW_CharLFO6LVL4"/>
    <w:qFormat/>
    <w:rPr>
      <w:rFonts w:ascii="Wingdings" w:hAnsi="Wingdings"/>
      <w:sz w:val="20"/>
    </w:rPr>
  </w:style>
  <w:style w:type="character" w:styleId="WWCharLFO6LVL5">
    <w:name w:val="WW_CharLFO6LVL5"/>
    <w:qFormat/>
    <w:rPr>
      <w:rFonts w:ascii="Wingdings" w:hAnsi="Wingdings"/>
      <w:sz w:val="20"/>
    </w:rPr>
  </w:style>
  <w:style w:type="character" w:styleId="WWCharLFO6LVL6">
    <w:name w:val="WW_CharLFO6LVL6"/>
    <w:qFormat/>
    <w:rPr>
      <w:rFonts w:ascii="Wingdings" w:hAnsi="Wingdings"/>
      <w:sz w:val="20"/>
    </w:rPr>
  </w:style>
  <w:style w:type="character" w:styleId="WWCharLFO6LVL7">
    <w:name w:val="WW_CharLFO6LVL7"/>
    <w:qFormat/>
    <w:rPr>
      <w:rFonts w:ascii="Wingdings" w:hAnsi="Wingdings"/>
      <w:sz w:val="20"/>
    </w:rPr>
  </w:style>
  <w:style w:type="character" w:styleId="WWCharLFO6LVL8">
    <w:name w:val="WW_CharLFO6LVL8"/>
    <w:qFormat/>
    <w:rPr>
      <w:rFonts w:ascii="Wingdings" w:hAnsi="Wingdings"/>
      <w:sz w:val="20"/>
    </w:rPr>
  </w:style>
  <w:style w:type="character" w:styleId="WWCharLFO6LVL9">
    <w:name w:val="WW_CharLFO6LVL9"/>
    <w:qFormat/>
    <w:rPr>
      <w:rFonts w:ascii="Wingdings" w:hAnsi="Wingdings"/>
      <w:sz w:val="20"/>
    </w:rPr>
  </w:style>
  <w:style w:type="character" w:styleId="WWCharLFO8LVL1">
    <w:name w:val="WW_CharLFO8LVL1"/>
    <w:qFormat/>
    <w:rPr>
      <w:rFonts w:ascii="Symbol" w:hAnsi="Symbol"/>
      <w:sz w:val="20"/>
    </w:rPr>
  </w:style>
  <w:style w:type="character" w:styleId="WWCharLFO8LVL2">
    <w:name w:val="WW_CharLFO8LVL2"/>
    <w:qFormat/>
    <w:rPr>
      <w:rFonts w:ascii="Courier New" w:hAnsi="Courier New"/>
      <w:sz w:val="20"/>
    </w:rPr>
  </w:style>
  <w:style w:type="character" w:styleId="WWCharLFO8LVL3">
    <w:name w:val="WW_CharLFO8LVL3"/>
    <w:qFormat/>
    <w:rPr>
      <w:rFonts w:ascii="Wingdings" w:hAnsi="Wingdings"/>
      <w:sz w:val="20"/>
    </w:rPr>
  </w:style>
  <w:style w:type="character" w:styleId="WWCharLFO8LVL4">
    <w:name w:val="WW_CharLFO8LVL4"/>
    <w:qFormat/>
    <w:rPr>
      <w:rFonts w:ascii="Wingdings" w:hAnsi="Wingdings"/>
      <w:sz w:val="20"/>
    </w:rPr>
  </w:style>
  <w:style w:type="character" w:styleId="WWCharLFO8LVL5">
    <w:name w:val="WW_CharLFO8LVL5"/>
    <w:qFormat/>
    <w:rPr>
      <w:rFonts w:ascii="Wingdings" w:hAnsi="Wingdings"/>
      <w:sz w:val="20"/>
    </w:rPr>
  </w:style>
  <w:style w:type="character" w:styleId="WWCharLFO8LVL6">
    <w:name w:val="WW_CharLFO8LVL6"/>
    <w:qFormat/>
    <w:rPr>
      <w:rFonts w:ascii="Wingdings" w:hAnsi="Wingdings"/>
      <w:sz w:val="20"/>
    </w:rPr>
  </w:style>
  <w:style w:type="character" w:styleId="WWCharLFO8LVL7">
    <w:name w:val="WW_CharLFO8LVL7"/>
    <w:qFormat/>
    <w:rPr>
      <w:rFonts w:ascii="Wingdings" w:hAnsi="Wingdings"/>
      <w:sz w:val="20"/>
    </w:rPr>
  </w:style>
  <w:style w:type="character" w:styleId="WWCharLFO8LVL8">
    <w:name w:val="WW_CharLFO8LVL8"/>
    <w:qFormat/>
    <w:rPr>
      <w:rFonts w:ascii="Wingdings" w:hAnsi="Wingdings"/>
      <w:sz w:val="20"/>
    </w:rPr>
  </w:style>
  <w:style w:type="character" w:styleId="WWCharLFO8LVL9">
    <w:name w:val="WW_CharLFO8LVL9"/>
    <w:qFormat/>
    <w:rPr>
      <w:rFonts w:ascii="Wingdings" w:hAnsi="Wingdings"/>
      <w:sz w:val="20"/>
    </w:rPr>
  </w:style>
  <w:style w:type="character" w:styleId="WWCharLFO9LVL1">
    <w:name w:val="WW_CharLFO9LVL1"/>
    <w:qFormat/>
    <w:rPr>
      <w:rFonts w:ascii="Symbol" w:hAnsi="Symbol"/>
      <w:sz w:val="20"/>
    </w:rPr>
  </w:style>
  <w:style w:type="character" w:styleId="WWCharLFO9LVL2">
    <w:name w:val="WW_CharLFO9LVL2"/>
    <w:qFormat/>
    <w:rPr>
      <w:rFonts w:ascii="Courier New" w:hAnsi="Courier New"/>
      <w:sz w:val="20"/>
    </w:rPr>
  </w:style>
  <w:style w:type="character" w:styleId="WWCharLFO9LVL3">
    <w:name w:val="WW_CharLFO9LVL3"/>
    <w:qFormat/>
    <w:rPr>
      <w:rFonts w:ascii="Wingdings" w:hAnsi="Wingdings"/>
      <w:sz w:val="20"/>
    </w:rPr>
  </w:style>
  <w:style w:type="character" w:styleId="WWCharLFO9LVL4">
    <w:name w:val="WW_CharLFO9LVL4"/>
    <w:qFormat/>
    <w:rPr>
      <w:rFonts w:ascii="Wingdings" w:hAnsi="Wingdings"/>
      <w:sz w:val="20"/>
    </w:rPr>
  </w:style>
  <w:style w:type="character" w:styleId="WWCharLFO9LVL5">
    <w:name w:val="WW_CharLFO9LVL5"/>
    <w:qFormat/>
    <w:rPr>
      <w:rFonts w:ascii="Wingdings" w:hAnsi="Wingdings"/>
      <w:sz w:val="20"/>
    </w:rPr>
  </w:style>
  <w:style w:type="character" w:styleId="WWCharLFO9LVL6">
    <w:name w:val="WW_CharLFO9LVL6"/>
    <w:qFormat/>
    <w:rPr>
      <w:rFonts w:ascii="Wingdings" w:hAnsi="Wingdings"/>
      <w:sz w:val="20"/>
    </w:rPr>
  </w:style>
  <w:style w:type="character" w:styleId="WWCharLFO9LVL7">
    <w:name w:val="WW_CharLFO9LVL7"/>
    <w:qFormat/>
    <w:rPr>
      <w:rFonts w:ascii="Wingdings" w:hAnsi="Wingdings"/>
      <w:sz w:val="20"/>
    </w:rPr>
  </w:style>
  <w:style w:type="character" w:styleId="WWCharLFO9LVL8">
    <w:name w:val="WW_CharLFO9LVL8"/>
    <w:qFormat/>
    <w:rPr>
      <w:rFonts w:ascii="Wingdings" w:hAnsi="Wingdings"/>
      <w:sz w:val="20"/>
    </w:rPr>
  </w:style>
  <w:style w:type="character" w:styleId="WWCharLFO9LVL9">
    <w:name w:val="WW_CharLFO9LVL9"/>
    <w:qFormat/>
    <w:rPr>
      <w:rFonts w:ascii="Wingdings" w:hAnsi="Wingdings"/>
      <w:sz w:val="20"/>
    </w:rPr>
  </w:style>
  <w:style w:type="character" w:styleId="WWCharLFO10LVL1">
    <w:name w:val="WW_CharLFO10LVL1"/>
    <w:qFormat/>
    <w:rPr>
      <w:rFonts w:ascii="Symbol" w:hAnsi="Symbol"/>
      <w:sz w:val="20"/>
    </w:rPr>
  </w:style>
  <w:style w:type="character" w:styleId="WWCharLFO10LVL2">
    <w:name w:val="WW_CharLFO10LVL2"/>
    <w:qFormat/>
    <w:rPr>
      <w:rFonts w:ascii="Courier New" w:hAnsi="Courier New"/>
      <w:sz w:val="20"/>
    </w:rPr>
  </w:style>
  <w:style w:type="character" w:styleId="WWCharLFO10LVL3">
    <w:name w:val="WW_CharLFO10LVL3"/>
    <w:qFormat/>
    <w:rPr>
      <w:rFonts w:ascii="Wingdings" w:hAnsi="Wingdings"/>
      <w:sz w:val="20"/>
    </w:rPr>
  </w:style>
  <w:style w:type="character" w:styleId="WWCharLFO10LVL4">
    <w:name w:val="WW_CharLFO10LVL4"/>
    <w:qFormat/>
    <w:rPr>
      <w:rFonts w:ascii="Wingdings" w:hAnsi="Wingdings"/>
      <w:sz w:val="20"/>
    </w:rPr>
  </w:style>
  <w:style w:type="character" w:styleId="WWCharLFO10LVL5">
    <w:name w:val="WW_CharLFO10LVL5"/>
    <w:qFormat/>
    <w:rPr>
      <w:rFonts w:ascii="Wingdings" w:hAnsi="Wingdings"/>
      <w:sz w:val="20"/>
    </w:rPr>
  </w:style>
  <w:style w:type="character" w:styleId="WWCharLFO10LVL6">
    <w:name w:val="WW_CharLFO10LVL6"/>
    <w:qFormat/>
    <w:rPr>
      <w:rFonts w:ascii="Wingdings" w:hAnsi="Wingdings"/>
      <w:sz w:val="20"/>
    </w:rPr>
  </w:style>
  <w:style w:type="character" w:styleId="WWCharLFO10LVL7">
    <w:name w:val="WW_CharLFO10LVL7"/>
    <w:qFormat/>
    <w:rPr>
      <w:rFonts w:ascii="Wingdings" w:hAnsi="Wingdings"/>
      <w:sz w:val="20"/>
    </w:rPr>
  </w:style>
  <w:style w:type="character" w:styleId="WWCharLFO10LVL8">
    <w:name w:val="WW_CharLFO10LVL8"/>
    <w:qFormat/>
    <w:rPr>
      <w:rFonts w:ascii="Wingdings" w:hAnsi="Wingdings"/>
      <w:sz w:val="20"/>
    </w:rPr>
  </w:style>
  <w:style w:type="character" w:styleId="WWCharLFO10LVL9">
    <w:name w:val="WW_CharLFO10LVL9"/>
    <w:qFormat/>
    <w:rPr>
      <w:rFonts w:ascii="Wingdings" w:hAnsi="Wingdings"/>
      <w:sz w:val="20"/>
    </w:rPr>
  </w:style>
  <w:style w:type="character" w:styleId="WWCharLFO11LVL1">
    <w:name w:val="WW_CharLFO11LVL1"/>
    <w:qFormat/>
    <w:rPr>
      <w:rFonts w:ascii="Symbol" w:hAnsi="Symbol"/>
      <w:sz w:val="20"/>
    </w:rPr>
  </w:style>
  <w:style w:type="character" w:styleId="WWCharLFO11LVL2">
    <w:name w:val="WW_CharLFO11LVL2"/>
    <w:qFormat/>
    <w:rPr>
      <w:rFonts w:ascii="Courier New" w:hAnsi="Courier New"/>
      <w:sz w:val="20"/>
    </w:rPr>
  </w:style>
  <w:style w:type="character" w:styleId="WWCharLFO11LVL3">
    <w:name w:val="WW_CharLFO11LVL3"/>
    <w:qFormat/>
    <w:rPr>
      <w:rFonts w:ascii="Wingdings" w:hAnsi="Wingdings"/>
      <w:sz w:val="20"/>
    </w:rPr>
  </w:style>
  <w:style w:type="character" w:styleId="WWCharLFO11LVL4">
    <w:name w:val="WW_CharLFO11LVL4"/>
    <w:qFormat/>
    <w:rPr>
      <w:rFonts w:ascii="Wingdings" w:hAnsi="Wingdings"/>
      <w:sz w:val="20"/>
    </w:rPr>
  </w:style>
  <w:style w:type="character" w:styleId="WWCharLFO11LVL5">
    <w:name w:val="WW_CharLFO11LVL5"/>
    <w:qFormat/>
    <w:rPr>
      <w:rFonts w:ascii="Wingdings" w:hAnsi="Wingdings"/>
      <w:sz w:val="20"/>
    </w:rPr>
  </w:style>
  <w:style w:type="character" w:styleId="WWCharLFO11LVL6">
    <w:name w:val="WW_CharLFO11LVL6"/>
    <w:qFormat/>
    <w:rPr>
      <w:rFonts w:ascii="Wingdings" w:hAnsi="Wingdings"/>
      <w:sz w:val="20"/>
    </w:rPr>
  </w:style>
  <w:style w:type="character" w:styleId="WWCharLFO11LVL7">
    <w:name w:val="WW_CharLFO11LVL7"/>
    <w:qFormat/>
    <w:rPr>
      <w:rFonts w:ascii="Wingdings" w:hAnsi="Wingdings"/>
      <w:sz w:val="20"/>
    </w:rPr>
  </w:style>
  <w:style w:type="character" w:styleId="WWCharLFO11LVL8">
    <w:name w:val="WW_CharLFO11LVL8"/>
    <w:qFormat/>
    <w:rPr>
      <w:rFonts w:ascii="Wingdings" w:hAnsi="Wingdings"/>
      <w:sz w:val="20"/>
    </w:rPr>
  </w:style>
  <w:style w:type="character" w:styleId="WWCharLFO11LVL9">
    <w:name w:val="WW_CharLFO11LVL9"/>
    <w:qFormat/>
    <w:rPr>
      <w:rFonts w:ascii="Wingdings" w:hAnsi="Wingdings"/>
      <w:sz w:val="20"/>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uppressAutoHyphens w:val="true"/>
      <w:spacing w:before="240" w:after="120"/>
    </w:pPr>
    <w:rPr>
      <w:rFonts w:ascii="Liberation Sans" w:hAnsi="Liberation Sans" w:eastAsia="Microsoft YaHei"/>
      <w:sz w:val="28"/>
      <w:szCs w:val="28"/>
    </w:rPr>
  </w:style>
  <w:style w:type="paragraph" w:styleId="Cuerpodetexto">
    <w:name w:val="Body Text"/>
    <w:basedOn w:val="Normal"/>
    <w:pPr>
      <w:suppressAutoHyphens w:val="true"/>
      <w:spacing w:lineRule="auto" w:line="288" w:before="0" w:after="140"/>
    </w:pPr>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before="0" w:after="200" w:lineRule="auto" w:line="240"/>
      <w:jc w:val="both"/>
      <w:textAlignment w:val="baseline"/>
    </w:pPr>
    <w:rPr>
      <w:rFonts w:ascii="Calibri" w:hAnsi="Calibri"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4"/>
      <w:u w:val="none"/>
      <w:vertAlign w:val="baseline"/>
      <w:em w:val="none"/>
      <w:lang w:val="es-ES" w:eastAsia="zh-CN" w:bidi="hi-IN"/>
    </w:rPr>
  </w:style>
  <w:style w:type="paragraph" w:styleId="Lista">
    <w:name w:val="List"/>
    <w:basedOn w:val="Cuerpodetexto"/>
    <w:pPr>
      <w:suppressAutoHyphens w:val="true"/>
    </w:pPr>
    <w:rPr/>
  </w:style>
  <w:style w:type="paragraph" w:styleId="Descripcin">
    <w:name w:val="Descripción"/>
    <w:basedOn w:val="Normal"/>
    <w:qFormat/>
    <w:pPr>
      <w:suppressLineNumbers/>
      <w:suppressAutoHyphens w:val="true"/>
      <w:spacing w:before="120" w:after="120"/>
    </w:pPr>
    <w:rPr>
      <w:i/>
      <w:iCs/>
    </w:rPr>
  </w:style>
  <w:style w:type="paragraph" w:styleId="Ndice">
    <w:name w:val="Índice"/>
    <w:basedOn w:val="Normal"/>
    <w:qFormat/>
    <w:pPr>
      <w:suppressLineNumbers/>
      <w:suppressAutoHyphens w:val="true"/>
    </w:pPr>
    <w:rPr/>
  </w:style>
  <w:style w:type="paragraph" w:styleId="Cita">
    <w:name w:val="Cita"/>
    <w:basedOn w:val="Normal"/>
    <w:qFormat/>
    <w:pPr>
      <w:tabs>
        <w:tab w:val="clear" w:pos="737"/>
      </w:tabs>
      <w:suppressAutoHyphens w:val="true"/>
      <w:spacing w:before="0" w:after="283"/>
      <w:ind w:left="567" w:right="567" w:hanging="0"/>
    </w:pPr>
    <w:rPr/>
  </w:style>
  <w:style w:type="paragraph" w:styleId="Puesto">
    <w:name w:val="Puesto"/>
    <w:basedOn w:val="Ttulo"/>
    <w:next w:val="Cuerpodetexto"/>
    <w:qFormat/>
    <w:pPr>
      <w:suppressAutoHyphens w:val="true"/>
      <w:jc w:val="center"/>
    </w:pPr>
    <w:rPr>
      <w:b/>
      <w:bCs/>
      <w:sz w:val="56"/>
      <w:szCs w:val="56"/>
    </w:rPr>
  </w:style>
  <w:style w:type="paragraph" w:styleId="Subttulo">
    <w:name w:val="Subtitle"/>
    <w:basedOn w:val="Ttulo"/>
    <w:next w:val="Cuerpodetexto"/>
    <w:qFormat/>
    <w:pPr>
      <w:suppressAutoHyphens w:val="true"/>
      <w:spacing w:before="60" w:after="0"/>
      <w:jc w:val="center"/>
    </w:pPr>
    <w:rPr>
      <w:sz w:val="36"/>
      <w:szCs w:val="36"/>
    </w:rPr>
  </w:style>
  <w:style w:type="paragraph" w:styleId="Encabezado">
    <w:name w:val="Encabezado"/>
    <w:basedOn w:val="Normal"/>
    <w:qFormat/>
    <w:pPr>
      <w:suppressLineNumbers/>
      <w:tabs>
        <w:tab w:val="clear" w:pos="737"/>
        <w:tab w:val="center" w:pos="4819" w:leader="none"/>
        <w:tab w:val="right" w:pos="9639" w:leader="none"/>
      </w:tabs>
      <w:suppressAutoHyphens w:val="true"/>
    </w:pPr>
    <w:rPr/>
  </w:style>
  <w:style w:type="paragraph" w:styleId="Cabeceraypie">
    <w:name w:val="Cabecera y pie"/>
    <w:basedOn w:val="Normal"/>
    <w:qFormat/>
    <w:pPr>
      <w:suppressLineNumbers/>
      <w:tabs>
        <w:tab w:val="clear" w:pos="737"/>
        <w:tab w:val="center" w:pos="4819" w:leader="none"/>
        <w:tab w:val="right" w:pos="9638" w:leader="none"/>
      </w:tabs>
    </w:pPr>
    <w:rPr/>
  </w:style>
  <w:style w:type="paragraph" w:styleId="Piedepgina">
    <w:name w:val="Footer"/>
    <w:basedOn w:val="Normal"/>
    <w:pPr>
      <w:suppressLineNumbers/>
      <w:tabs>
        <w:tab w:val="clear" w:pos="737"/>
        <w:tab w:val="center" w:pos="4819" w:leader="none"/>
        <w:tab w:val="right" w:pos="9639" w:leader="none"/>
      </w:tabs>
      <w:suppressAutoHyphens w:val="true"/>
    </w:pPr>
    <w:rPr/>
  </w:style>
  <w:style w:type="paragraph" w:styleId="Imagencorporativa">
    <w:name w:val="Imagen corporativa"/>
    <w:basedOn w:val="Normal"/>
    <w:qFormat/>
    <w:pPr>
      <w:tabs>
        <w:tab w:val="clear" w:pos="737"/>
        <w:tab w:val="left" w:pos="2811" w:leader="none"/>
      </w:tabs>
      <w:suppressAutoHyphens w:val="true"/>
      <w:spacing w:before="0" w:after="320"/>
      <w:ind w:left="1191" w:right="0" w:hanging="0"/>
      <w:jc w:val="both"/>
    </w:pPr>
    <w:rPr>
      <w:rFonts w:ascii="Arial" w:hAnsi="Arial" w:eastAsia="Arial" w:cs="Arial"/>
      <w:b/>
      <w:sz w:val="22"/>
      <w:szCs w:val="22"/>
    </w:rPr>
  </w:style>
  <w:style w:type="paragraph" w:styleId="Textodeglobo">
    <w:name w:val="Texto de globo"/>
    <w:basedOn w:val="Normal1"/>
    <w:qFormat/>
    <w:pPr>
      <w:suppressAutoHyphens w:val="true"/>
    </w:pPr>
    <w:rPr>
      <w:rFonts w:ascii="Segoe UI" w:hAnsi="Segoe UI" w:cs="Mangal"/>
      <w:sz w:val="18"/>
      <w:szCs w:val="16"/>
    </w:rPr>
  </w:style>
  <w:style w:type="paragraph" w:styleId="Prrafodelista">
    <w:name w:val="Párrafo de lista"/>
    <w:basedOn w:val="Normal1"/>
    <w:qFormat/>
    <w:pPr>
      <w:tabs>
        <w:tab w:val="clear" w:pos="737"/>
      </w:tabs>
      <w:suppressAutoHyphens w:val="true"/>
      <w:ind w:left="720" w:right="0" w:hanging="0"/>
    </w:pPr>
    <w:rPr>
      <w:rFonts w:cs="Mangal"/>
    </w:rPr>
  </w:style>
  <w:style w:type="paragraph" w:styleId="NormalWeb">
    <w:name w:val="Normal (Web)"/>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Destacadointerior">
    <w:name w:val="destacado-interior"/>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Texto">
    <w:name w:val="texto"/>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Cabecera">
    <w:name w:val="Header"/>
    <w:basedOn w:val="Cabeceraypie"/>
    <w:pPr>
      <w:suppressLineNumbers/>
    </w:pPr>
    <w:rPr/>
  </w:style>
  <w:style w:type="paragraph" w:styleId="Contenidodelatabla">
    <w:name w:val="Contenido de la tabla"/>
    <w:basedOn w:val="Normal"/>
    <w:qFormat/>
    <w:pPr>
      <w:suppressLineNumbers/>
    </w:pPr>
    <w:rPr/>
  </w:style>
  <w:style w:type="numbering" w:styleId="WWOutlineListStyle1">
    <w:name w:val="WW_OutlineListStyle_1"/>
    <w:qFormat/>
  </w:style>
  <w:style w:type="numbering" w:styleId="WWOutlineListStyle">
    <w:name w:val="WW_OutlineListStyl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aspalmasgc.es/es/la-ciudad/distritos/vegueta-cono-sur-y-tafira/" TargetMode="External"/><Relationship Id="rId3" Type="http://schemas.openxmlformats.org/officeDocument/2006/relationships/hyperlink" Target="https://www.laspalmasgc.es/es/la-ciudad/distritos/centro/" TargetMode="External"/><Relationship Id="rId4" Type="http://schemas.openxmlformats.org/officeDocument/2006/relationships/hyperlink" Target="https://www.laspalmasgc.es/es/la-ciudad/distritos/isleta-puerto-guanarteme/" TargetMode="External"/><Relationship Id="rId5" Type="http://schemas.openxmlformats.org/officeDocument/2006/relationships/hyperlink" Target="https://www.laspalmasgc.es/es/la-ciudad/distritos/ciudad-alta/" TargetMode="External"/><Relationship Id="rId6" Type="http://schemas.openxmlformats.org/officeDocument/2006/relationships/hyperlink" Target="https://www.laspalmasgc.es/es/la-ciudad/distritos/tamaraceite-san-lorenzo-tenoya/" TargetMode="External"/><Relationship Id="rId7" Type="http://schemas.openxmlformats.org/officeDocument/2006/relationships/hyperlink" Target="https://ocms.laspalmasgc.es/es/transparencia/.galleries/galeria-documentos-transparencia/Dcto.-42297-2024-Mod.-decreto-26902-2023.pdf" TargetMode="External"/><Relationship Id="rId8" Type="http://schemas.openxmlformats.org/officeDocument/2006/relationships/hyperlink" Target="https://ocms.laspalmasgc.es/es/transparencia/.galleries/galeria-documentos-transparencia/Dcto.-40682-2024-JMD-Centro.pdf" TargetMode="External"/><Relationship Id="rId9" Type="http://schemas.openxmlformats.org/officeDocument/2006/relationships/hyperlink" Target="https://ocms.laspalmasgc.es/es/transparencia/.galleries/galeria-documentos-transparencia/Dcto.-35760-2024-Revocacion-nombramiento-concejal-delegado.pdf" TargetMode="External"/><Relationship Id="rId10" Type="http://schemas.openxmlformats.org/officeDocument/2006/relationships/hyperlink" Target="https://ocms.laspalmasgc.es/es/transparencia/.galleries/Organizacion/Juntas-Distrito-Isleta.pdf" TargetMode="External"/><Relationship Id="rId11" Type="http://schemas.openxmlformats.org/officeDocument/2006/relationships/hyperlink" Target="https://ocms.laspalmasgc.es/es/transparencia/.galleries/Organizacion/Juntas-Distrito-Centro.pdf" TargetMode="External"/><Relationship Id="rId12" Type="http://schemas.openxmlformats.org/officeDocument/2006/relationships/hyperlink" Target="https://ocms.laspalmasgc.es/es/transparencia/.galleries/galeria-documentos-transparencia/Sustitucion-JMD-Tenoya.pdf" TargetMode="External"/><Relationship Id="rId13" Type="http://schemas.openxmlformats.org/officeDocument/2006/relationships/hyperlink" Target="https://ocms.laspalmasgc.es/es/transparencia/.galleries/galeria-documentos-transparencia/Sustiticion-JMD-Ciudad-Alta.pdf" TargetMode="External"/><Relationship Id="rId14" Type="http://schemas.openxmlformats.org/officeDocument/2006/relationships/hyperlink" Target="https://ocms.laspalmasgc.es/es/transparencia/.galleries/galeria-documentos-transparencia/Dcto.-27015-2024-JMD-Centro.pdf" TargetMode="External"/><Relationship Id="rId15" Type="http://schemas.openxmlformats.org/officeDocument/2006/relationships/hyperlink" Target="https://ocms.laspalmasgc.es/es/transparencia/.galleries/galeria-documentos-transparencia/Dcto.-18103-2024-Modificacion-GPM-Vox-Isleta-Puerto-Guanarteme.pdf" TargetMode="External"/><Relationship Id="rId16" Type="http://schemas.openxmlformats.org/officeDocument/2006/relationships/hyperlink" Target="https://ocms.laspalmasgc.es/es/transparencia/.galleries/galeria-documentos-transparencia/Dcto.-10560-2024-JMD-Centro.pdf" TargetMode="External"/><Relationship Id="rId17" Type="http://schemas.openxmlformats.org/officeDocument/2006/relationships/hyperlink" Target="https://ocms.laspalmasgc.es/es/transparencia/.galleries/galeria-documentos-transparencia/Dcto.-10144-2024-JMD-Centro.pdf" TargetMode="External"/><Relationship Id="rId18" Type="http://schemas.openxmlformats.org/officeDocument/2006/relationships/hyperlink" Target="https://ocms.laspalmasgc.es/es/transparencia/.galleries/galeria-documentos-transparencia/Dcto.-10143-2024-JMD-Isleta-Puerto-Guanarteme.pdf" TargetMode="External"/><Relationship Id="rId19" Type="http://schemas.openxmlformats.org/officeDocument/2006/relationships/hyperlink" Target="https://ocms.laspalmasgc.es/es/transparencia/.galleries/galeria-documentos-transparencia/Decreto-7254-2024-JMD-Tamaraceite-San-Lorenzo-Tenoya.pdf" TargetMode="External"/><Relationship Id="rId20" Type="http://schemas.openxmlformats.org/officeDocument/2006/relationships/hyperlink" Target="https://ocms.laspalmasgc.es/es/transparencia/.galleries/galeria-documentos-transparencia/Decreto-7253-2024-JMD-Ciudad-Alta.pdf" TargetMode="External"/><Relationship Id="rId21" Type="http://schemas.openxmlformats.org/officeDocument/2006/relationships/hyperlink" Target="https://ocms.laspalmasgc.es/es/transparencia/.galleries/galeria-documentos-transparencia/Decreto-7252-2024-JMD-Centro.pdf" TargetMode="External"/><Relationship Id="rId22" Type="http://schemas.openxmlformats.org/officeDocument/2006/relationships/hyperlink" Target="https://ocms.laspalmasgc.es/es/transparencia/.galleries/Organizacion/Decreto-29333-2023-Rect.-dctos.-26902-2023-y-27152-2023.pdf" TargetMode="External"/><Relationship Id="rId23" Type="http://schemas.openxmlformats.org/officeDocument/2006/relationships/hyperlink" Target="https://www.laspalmasgc.es/es/la-ciudad/distritos/juntas-municipales-de-distritos/"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34</TotalTime>
  <Application>LibreOffice/6.4.7.2$Windows_x86 LibreOffice_project/639b8ac485750d5696d7590a72ef1b496725cfb5</Application>
  <Pages>6</Pages>
  <Words>1657</Words>
  <Characters>9152</Characters>
  <CharactersWithSpaces>10626</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2024-09-12T08:54:00Z</dcterms:created>
  <dc:creator>Damián Hernández Martín</dc:creator>
  <dc:description/>
  <dc:language>es-ES</dc:language>
  <cp:lastModifiedBy/>
  <cp:lastPrinted>2023-08-18T06:58:00Z</cp:lastPrinted>
  <dcterms:modified xsi:type="dcterms:W3CDTF">2024-11-12T13:29:04Z</dcterms:modified>
  <cp:revision>6</cp:revision>
  <dc:subject/>
  <dc:title/>
</cp:coreProperties>
</file>