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Comisión de Pleno de Gestión Económico-Financiera y Especial de Cuentas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noviembre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de 2024</w:t>
      </w:r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2">
        <w:r>
          <w:rPr>
            <w:rStyle w:val="EnlacedeInternet"/>
          </w:rPr>
          <w:t xml:space="preserve">Decreto 42730/2024, de 05 de noviembre, de la Presidenta del Pleno por el que se modifica el Decreto número 27065/2023, de 3 de julio, por el que se designan presidentes titulares y suplentes de las Comisiones de Pleno y se </w:t>
        </w:r>
        <w:r>
          <w:rPr>
            <w:rStyle w:val="EnlacedeInternet"/>
          </w:rPr>
          <w:t>de</w:t>
        </w:r>
        <w:r>
          <w:rPr>
            <w:rStyle w:val="EnlacedeInternet"/>
          </w:rPr>
          <w:t>termina su composición</w:t>
        </w:r>
      </w:hyperlink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3" w:tgtFrame="_top">
        <w:r>
          <w:rPr>
            <w:rStyle w:val="EnlacedeInternet"/>
          </w:rPr>
          <w:t>Decreto 15434/2024, de 15 de abril,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Prrafodelista"/>
        <w:numPr>
          <w:ilvl w:val="0"/>
          <w:numId w:val="3"/>
        </w:numPr>
        <w:rPr/>
      </w:pPr>
      <w:hyperlink r:id="rId4" w:tgtFrame="_top">
        <w:r>
          <w:rPr>
            <w:rStyle w:val="EnlacedeInternet"/>
          </w:rPr>
          <w:t>Decreto 5246/2024, de 8 de febrero, por el que se modifica el decreto de la presidenta del Pleno número 27065/2023, de 3 de julio, por el que se designan presidentes titulares y suplentes de las Comisiones de Pleno y se determinan su composición.</w:t>
        </w:r>
      </w:hyperlink>
    </w:p>
    <w:p>
      <w:pPr>
        <w:pStyle w:val="Texto"/>
        <w:numPr>
          <w:ilvl w:val="0"/>
          <w:numId w:val="4"/>
        </w:numPr>
        <w:rPr/>
      </w:pPr>
      <w:r>
        <w:rPr/>
        <w:t xml:space="preserve"> </w:t>
      </w:r>
      <w:hyperlink r:id="rId5" w:tgtFrame="_top">
        <w:r>
          <w:rPr>
            <w:rStyle w:val="EnlacedeInternet"/>
          </w:rPr>
          <w:t>Decreto 4438/2024, de 6 de febrero,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Texto"/>
        <w:numPr>
          <w:ilvl w:val="0"/>
          <w:numId w:val="4"/>
        </w:numPr>
        <w:rPr/>
      </w:pPr>
      <w:hyperlink r:id="rId6" w:tgtFrame="_top">
        <w:r>
          <w:rPr>
            <w:rStyle w:val="EnlacedeInternet"/>
          </w:rPr>
          <w:t>Certificación de acuerdo de determinación del número, denominación, naturaleza y composición de las comisiones de pleno.</w:t>
        </w:r>
      </w:hyperlink>
    </w:p>
    <w:p>
      <w:pPr>
        <w:pStyle w:val="Texto"/>
        <w:numPr>
          <w:ilvl w:val="0"/>
          <w:numId w:val="4"/>
        </w:numPr>
        <w:rPr/>
      </w:pPr>
      <w:hyperlink r:id="rId7" w:tgtFrame="_top">
        <w:r>
          <w:rPr>
            <w:rStyle w:val="EnlacedeInternet"/>
          </w:rPr>
          <w:t>Decreto 27065/2023, de 3 de julio de 2023, de la presidenta del Pleno por el que se designan presidentes titulares y suplentes de las Comisiones de Pleno y se determina su composición</w:t>
        </w:r>
      </w:hyperlink>
    </w:p>
    <w:p>
      <w:pPr>
        <w:pStyle w:val="Texto"/>
        <w:numPr>
          <w:ilvl w:val="0"/>
          <w:numId w:val="4"/>
        </w:numPr>
        <w:rPr/>
      </w:pPr>
      <w:hyperlink r:id="rId8" w:tgtFrame="_top">
        <w:r>
          <w:rPr>
            <w:rStyle w:val="EnlacedeInternet"/>
          </w:rPr>
          <w:t>Decreto 37704/2023 de, 9 de octubre,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Texto"/>
        <w:numPr>
          <w:ilvl w:val="0"/>
          <w:numId w:val="4"/>
        </w:numPr>
        <w:rPr/>
      </w:pPr>
      <w:hyperlink r:id="rId9" w:tgtFrame="_top">
        <w:r>
          <w:rPr>
            <w:rStyle w:val="EnlacedeInternet"/>
          </w:rPr>
          <w:t>Decreto 106/2024, de 05 de enero, por el que se modifica el decreto de la presidenta del Pleno número 27065/2023, de 03 de julio, por el que se designan presidentes titulares y suplentes de las Comisiones de Pleno y se determina su composición.</w:t>
        </w:r>
      </w:hyperlink>
    </w:p>
    <w:p>
      <w:pPr>
        <w:pStyle w:val="NormalWeb"/>
        <w:rPr/>
      </w:pPr>
      <w:r>
        <w:rPr/>
        <w:t>Enlaces de Interés:</w:t>
      </w:r>
    </w:p>
    <w:p>
      <w:pPr>
        <w:pStyle w:val="Normal1"/>
        <w:widowControl/>
        <w:numPr>
          <w:ilvl w:val="0"/>
          <w:numId w:val="5"/>
        </w:numPr>
        <w:suppressAutoHyphens w:val="false"/>
        <w:spacing w:before="100" w:after="100"/>
        <w:jc w:val="left"/>
        <w:textAlignment w:val="auto"/>
        <w:rPr/>
      </w:pPr>
      <w:hyperlink r:id="rId10" w:tgtFrame="_top">
        <w:r>
          <w:rPr>
            <w:rStyle w:val="EnlacedeInternet"/>
          </w:rPr>
          <w:t>Actas</w:t>
        </w:r>
      </w:hyperlink>
    </w:p>
    <w:p>
      <w:pPr>
        <w:pStyle w:val="Normal1"/>
        <w:widowControl/>
        <w:numPr>
          <w:ilvl w:val="0"/>
          <w:numId w:val="5"/>
        </w:numPr>
        <w:suppressAutoHyphens w:val="false"/>
        <w:spacing w:before="100" w:after="100"/>
        <w:jc w:val="left"/>
        <w:textAlignment w:val="auto"/>
        <w:rPr/>
      </w:pPr>
      <w:hyperlink r:id="rId11" w:tgtFrame="_top">
        <w:r>
          <w:rPr>
            <w:rStyle w:val="EnlacedeInternet"/>
          </w:rPr>
          <w:t>Diario de sesiones</w:t>
        </w:r>
      </w:hyperlink>
    </w:p>
    <w:p>
      <w:pPr>
        <w:pStyle w:val="Ttulo2"/>
        <w:rPr/>
      </w:pPr>
      <w:r>
        <w:rPr/>
        <w:t>Presidencia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Titular: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 D. Francisco Hernández Spínola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Suplente: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 xml:space="preserve"> D. </w:t>
      </w:r>
      <w:r>
        <w:rPr>
          <w:rStyle w:val="Fuentedeprrafopredeter"/>
          <w:rFonts w:cs="Helvetica" w:ascii="inherit" w:hAnsi="inherit"/>
          <w:color w:val="333333"/>
          <w:sz w:val="20"/>
          <w:szCs w:val="20"/>
        </w:rPr>
        <w:t>Mauricio Aurelio Roque González</w:t>
      </w:r>
    </w:p>
    <w:p>
      <w:pPr>
        <w:pStyle w:val="Ttulo2"/>
        <w:rPr/>
      </w:pPr>
      <w:r>
        <w:rPr/>
        <w:t>Miembros - Composición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Socialista: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 Francisco Hernández Spínola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Mauricio Aurelio Roque González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Carmen Vargas Palmés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 xml:space="preserve">D. </w:t>
      </w:r>
      <w:r>
        <w:rPr>
          <w:rFonts w:cs="Helvetica" w:ascii="inherit" w:hAnsi="inherit"/>
          <w:color w:val="333333"/>
          <w:sz w:val="20"/>
          <w:szCs w:val="20"/>
        </w:rPr>
        <w:t>ª Betsaida González Rodríguez</w:t>
      </w:r>
      <w:r>
        <w:rPr>
          <w:rFonts w:cs="Helvetica" w:ascii="inherit" w:hAnsi="inherit"/>
          <w:color w:val="333333"/>
          <w:sz w:val="20"/>
          <w:szCs w:val="20"/>
        </w:rPr>
        <w:t xml:space="preserve"> 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</w:t>
      </w:r>
      <w:r>
        <w:rPr>
          <w:rFonts w:cs="Helvetica" w:ascii="inherit" w:hAnsi="inherit"/>
          <w:color w:val="333333"/>
          <w:sz w:val="20"/>
          <w:szCs w:val="20"/>
        </w:rPr>
        <w:t>ª Esther Lidia Martín Martín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Josué Íñiguez Ollero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Saturnina Santana Dumpiérrez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Carla Campoamor Abad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Popular: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Olga Palacios Pérez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Diego Fermín López-Galán Medina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Pilar Mas Suárez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 Victoria Trujillo León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Ignacio Felipe Guerra de la Torre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Jimena Mercedes Delgado-Taramona Hernández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Vox: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0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Rafael Miguel De Juan Miñón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1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Andrés Alberto Rodríguez Almeida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Mixto: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José Eduardo Ramírez Hermoso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Gemma María Martínez Soliño</w:t>
      </w:r>
    </w:p>
    <w:p>
      <w:pPr>
        <w:pStyle w:val="Ttulo2"/>
        <w:rPr/>
      </w:pPr>
      <w:r>
        <w:rPr/>
        <w:t>Funciones - Competencias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 Comisión de Pleno de Gestión Económico-Financiera y Especial de Cuentas tendrá las funciones atribuidas por el artículo 122.4, LRBRL, respecto del marco competencial de las siguientes Áreas de gobierno:</w:t>
      </w:r>
    </w:p>
    <w:p>
      <w:pPr>
        <w:pStyle w:val="Normal1"/>
        <w:widowControl/>
        <w:numPr>
          <w:ilvl w:val="0"/>
          <w:numId w:val="1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Área de Gobierno de Presidencia, Hacienda, Modernización y Recursos Humanos (sector funcional de Hacienda)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sectPr>
      <w:headerReference w:type="default" r:id="rId12"/>
      <w:footerReference w:type="default" r:id="rId13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8LVL1">
    <w:name w:val="WW_CharLFO8LVL1"/>
    <w:qFormat/>
    <w:rPr>
      <w:rFonts w:ascii="Symbol" w:hAnsi="Symbol" w:eastAsia="SimSun" w:cs="Lucida Sans"/>
      <w:sz w:val="22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WWCharLFO19LVL1">
    <w:name w:val="WW_CharLFO19LVL1"/>
    <w:qFormat/>
    <w:rPr>
      <w:rFonts w:ascii="Symbol" w:hAnsi="Symbol"/>
      <w:sz w:val="20"/>
    </w:rPr>
  </w:style>
  <w:style w:type="character" w:styleId="WWCharLFO19LVL2">
    <w:name w:val="WW_CharLFO19LVL2"/>
    <w:qFormat/>
    <w:rPr>
      <w:rFonts w:ascii="Courier New" w:hAnsi="Courier New"/>
      <w:sz w:val="20"/>
    </w:rPr>
  </w:style>
  <w:style w:type="character" w:styleId="WWCharLFO19LVL3">
    <w:name w:val="WW_CharLFO19LVL3"/>
    <w:qFormat/>
    <w:rPr>
      <w:rFonts w:ascii="Wingdings" w:hAnsi="Wingdings"/>
      <w:sz w:val="20"/>
    </w:rPr>
  </w:style>
  <w:style w:type="character" w:styleId="WWCharLFO19LVL4">
    <w:name w:val="WW_CharLFO19LVL4"/>
    <w:qFormat/>
    <w:rPr>
      <w:rFonts w:ascii="Wingdings" w:hAnsi="Wingdings"/>
      <w:sz w:val="20"/>
    </w:rPr>
  </w:style>
  <w:style w:type="character" w:styleId="WWCharLFO19LVL5">
    <w:name w:val="WW_CharLFO19LVL5"/>
    <w:qFormat/>
    <w:rPr>
      <w:rFonts w:ascii="Wingdings" w:hAnsi="Wingdings"/>
      <w:sz w:val="20"/>
    </w:rPr>
  </w:style>
  <w:style w:type="character" w:styleId="WWCharLFO19LVL6">
    <w:name w:val="WW_CharLFO19LVL6"/>
    <w:qFormat/>
    <w:rPr>
      <w:rFonts w:ascii="Wingdings" w:hAnsi="Wingdings"/>
      <w:sz w:val="20"/>
    </w:rPr>
  </w:style>
  <w:style w:type="character" w:styleId="WWCharLFO19LVL7">
    <w:name w:val="WW_CharLFO19LVL7"/>
    <w:qFormat/>
    <w:rPr>
      <w:rFonts w:ascii="Wingdings" w:hAnsi="Wingdings"/>
      <w:sz w:val="20"/>
    </w:rPr>
  </w:style>
  <w:style w:type="character" w:styleId="WWCharLFO19LVL8">
    <w:name w:val="WW_CharLFO19LVL8"/>
    <w:qFormat/>
    <w:rPr>
      <w:rFonts w:ascii="Wingdings" w:hAnsi="Wingdings"/>
      <w:sz w:val="20"/>
    </w:rPr>
  </w:style>
  <w:style w:type="character" w:styleId="WWCharLFO19LVL9">
    <w:name w:val="WW_CharLFO19LVL9"/>
    <w:qFormat/>
    <w:rPr>
      <w:rFonts w:ascii="Wingdings" w:hAnsi="Wingdings"/>
      <w:sz w:val="20"/>
    </w:rPr>
  </w:style>
  <w:style w:type="character" w:styleId="WWCharLFO20LVL1">
    <w:name w:val="WW_CharLFO20LVL1"/>
    <w:qFormat/>
    <w:rPr>
      <w:rFonts w:ascii="Symbol" w:hAnsi="Symbol"/>
      <w:sz w:val="20"/>
    </w:rPr>
  </w:style>
  <w:style w:type="character" w:styleId="WWCharLFO20LVL2">
    <w:name w:val="WW_CharLFO20LVL2"/>
    <w:qFormat/>
    <w:rPr>
      <w:rFonts w:ascii="Courier New" w:hAnsi="Courier New"/>
      <w:sz w:val="20"/>
    </w:rPr>
  </w:style>
  <w:style w:type="character" w:styleId="WWCharLFO20LVL3">
    <w:name w:val="WW_CharLFO20LVL3"/>
    <w:qFormat/>
    <w:rPr>
      <w:rFonts w:ascii="Wingdings" w:hAnsi="Wingdings"/>
      <w:sz w:val="20"/>
    </w:rPr>
  </w:style>
  <w:style w:type="character" w:styleId="WWCharLFO20LVL4">
    <w:name w:val="WW_CharLFO20LVL4"/>
    <w:qFormat/>
    <w:rPr>
      <w:rFonts w:ascii="Wingdings" w:hAnsi="Wingdings"/>
      <w:sz w:val="20"/>
    </w:rPr>
  </w:style>
  <w:style w:type="character" w:styleId="WWCharLFO20LVL5">
    <w:name w:val="WW_CharLFO20LVL5"/>
    <w:qFormat/>
    <w:rPr>
      <w:rFonts w:ascii="Wingdings" w:hAnsi="Wingdings"/>
      <w:sz w:val="20"/>
    </w:rPr>
  </w:style>
  <w:style w:type="character" w:styleId="WWCharLFO20LVL6">
    <w:name w:val="WW_CharLFO20LVL6"/>
    <w:qFormat/>
    <w:rPr>
      <w:rFonts w:ascii="Wingdings" w:hAnsi="Wingdings"/>
      <w:sz w:val="20"/>
    </w:rPr>
  </w:style>
  <w:style w:type="character" w:styleId="WWCharLFO20LVL7">
    <w:name w:val="WW_CharLFO20LVL7"/>
    <w:qFormat/>
    <w:rPr>
      <w:rFonts w:ascii="Wingdings" w:hAnsi="Wingdings"/>
      <w:sz w:val="20"/>
    </w:rPr>
  </w:style>
  <w:style w:type="character" w:styleId="WWCharLFO20LVL8">
    <w:name w:val="WW_CharLFO20LVL8"/>
    <w:qFormat/>
    <w:rPr>
      <w:rFonts w:ascii="Wingdings" w:hAnsi="Wingdings"/>
      <w:sz w:val="20"/>
    </w:rPr>
  </w:style>
  <w:style w:type="character" w:styleId="WWCharLFO20LVL9">
    <w:name w:val="WW_CharLFO20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6">
    <w:name w:val="WW_OutlineListStyle_6"/>
    <w:qFormat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Dcto.%2042730-2024%20Mod.%20composici&#243;n%20CP.pdf.crdownload" TargetMode="External"/><Relationship Id="rId3" Type="http://schemas.openxmlformats.org/officeDocument/2006/relationships/hyperlink" Target="https://ocms.laspalmasgc.es/es/transparencia/.galleries/galeria-documentos-transparencia/1-Dcto.-15434-2024-mod-composicion-CP.pdf" TargetMode="External"/><Relationship Id="rId4" Type="http://schemas.openxmlformats.org/officeDocument/2006/relationships/hyperlink" Target="https://ocms.laspalmasgc.es/es/transparencia/.galleries/galeria-documentos-transparencia/Dcto.-5246-2024-mod-composicion-27065-2023.pdf" TargetMode="External"/><Relationship Id="rId5" Type="http://schemas.openxmlformats.org/officeDocument/2006/relationships/hyperlink" Target="https://ocms.laspalmasgc.es/es/transparencia/.galleries/galeria-documentos-transparencia/Decreto-4438-2024-modifica-decreto-27065-2023.pdf" TargetMode="External"/><Relationship Id="rId6" Type="http://schemas.openxmlformats.org/officeDocument/2006/relationships/hyperlink" Target="https://www.laspalmasgc.es/es/transparencia/.galleries/Organizacion/Cert.-Determinacion-Comisiones-de-Pleno.pdf" TargetMode="External"/><Relationship Id="rId7" Type="http://schemas.openxmlformats.org/officeDocument/2006/relationships/hyperlink" Target="https://www.laspalmasgc.es/es/transparencia/.galleries/Organizacion/Decreto-27065-2023-Composicion-Comisiones-de-Pleno.pdf" TargetMode="External"/><Relationship Id="rId8" Type="http://schemas.openxmlformats.org/officeDocument/2006/relationships/hyperlink" Target="https://www.laspalmasgc.es/es/transparencia/.galleries/galeria-documentos-transparencia/1-Dcto.-mod-composicion-CP-GMP.pdf" TargetMode="External"/><Relationship Id="rId9" Type="http://schemas.openxmlformats.org/officeDocument/2006/relationships/hyperlink" Target="https://www.laspalmasgc.es/es/transparencia/.galleries/galeria-documentos-transparencia/04.-Decreto-106-2024-Mod.-27065.2023.pdf" TargetMode="External"/><Relationship Id="rId10" Type="http://schemas.openxmlformats.org/officeDocument/2006/relationships/hyperlink" Target="https://www.laspalmasgc.es/es/ayuntamiento/pleno-y-comisiones/comisiones/actas-de-comisiones/?buscadorcactascomisionesfield-1=&amp;buscadorcactascomisionesfield-2=comision23/02-gestion-economico-financiera-y-especial-de-cuentas/&amp;numfield=2&amp;searchaction=search&amp;searchPage=1&amp;submit=Buscar" TargetMode="External"/><Relationship Id="rId11" Type="http://schemas.openxmlformats.org/officeDocument/2006/relationships/hyperlink" Target="https://www.laspalmasgc.es/es/ayuntamiento/pleno-y-comisiones/comisiones/Diario-de-sesiones-de-las-comisiones-de-pleno/?buscadordiariosesionescomisionesfield-1=&amp;buscadordiariosesionescomisionesfield-2=comision23/02-gestion-economico-financiera-y-especial-de-cuentas/&amp;numfield=2&amp;searchaction=search&amp;searchPage=1&amp;submit=Busca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LibreOffice/6.4.7.2$Windows_x86 LibreOffice_project/639b8ac485750d5696d7590a72ef1b496725cfb5</Application>
  <Pages>2</Pages>
  <Words>560</Words>
  <Characters>2886</Characters>
  <CharactersWithSpaces>3366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2024-04-16T14:01:00Z</dcterms:created>
  <dc:creator>Damián Hernández Martín</dc:creator>
  <dc:description/>
  <dc:language>es-ES</dc:language>
  <cp:lastModifiedBy/>
  <cp:lastPrinted>2023-07-07T11:42:00Z</cp:lastPrinted>
  <dcterms:modified xsi:type="dcterms:W3CDTF">2024-11-07T12:34:53Z</dcterms:modified>
  <cp:revision>4</cp:revision>
  <dc:subject/>
  <dc:title/>
</cp:coreProperties>
</file>