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spacing w:before="0" w:after="225"/>
        <w:rPr/>
      </w:pPr>
      <w:r>
        <w:rPr>
          <w:rStyle w:val="Fuentedeprrafopredeter"/>
          <w:b w:val="false"/>
          <w:bCs/>
          <w:color w:val="40495A"/>
          <w:sz w:val="39"/>
          <w:szCs w:val="39"/>
        </w:rPr>
        <w:t>Descripción del uso del canal interno de información de la Ley 2/2023, y principios esenciales del procedimiento de gestión.</w:t>
      </w:r>
    </w:p>
    <w:p>
      <w:pPr>
        <w:pStyle w:val="NormalWeb"/>
        <w:shd w:fill="FFFFFF" w:val="clear"/>
        <w:spacing w:lineRule="atLeast" w:line="300" w:before="0" w:after="135"/>
        <w:jc w:val="righ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Ley 2/2023 TITULO IV art., 25</w:t>
      </w:r>
    </w:p>
    <w:p>
      <w:pPr>
        <w:pStyle w:val="NormalWeb"/>
        <w:shd w:fill="FFFFFF" w:val="clear"/>
        <w:spacing w:lineRule="atLeast" w:line="300" w:before="0" w:after="135"/>
        <w:jc w:val="righ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Información revisada </w:t>
      </w:r>
      <w:r>
        <w:rPr>
          <w:rFonts w:cs="Helvetica" w:ascii="Helvetica" w:hAnsi="Helvetica"/>
          <w:color w:val="333333"/>
          <w:sz w:val="20"/>
          <w:szCs w:val="20"/>
        </w:rPr>
        <w:t>en</w:t>
      </w:r>
      <w:r>
        <w:rPr>
          <w:rFonts w:cs="Helvetica" w:ascii="Helvetica" w:hAnsi="Helvetica"/>
          <w:color w:val="333333"/>
          <w:sz w:val="20"/>
          <w:szCs w:val="20"/>
        </w:rPr>
        <w:t>ero de 202</w:t>
      </w:r>
      <w:r>
        <w:rPr>
          <w:rFonts w:cs="Helvetica" w:ascii="Helvetica" w:hAnsi="Helvetica"/>
          <w:color w:val="333333"/>
          <w:sz w:val="20"/>
          <w:szCs w:val="20"/>
        </w:rPr>
        <w:t>5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Este canal se pone a disposición de los empleados públicos y de los informantes que comuniquen o releven públicamente información sobre acciones u omisiones contrarias a las materias previstas en el artículo 2, que hayan sido obtenidas en el marco de una relación laboral o estatutaria ya finalizada; voluntarios; becarios; trabajadores en períodos de formación y aquellos cuya relación todavía no haya comenzado, en los casos en que la información sobre infracciones haya sido obtenida durante el proceso de selección o de negociación precontractual, conforme a los apartados 1 y 2 del artículo 3.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Las materias objeto del canal interno de denuncias son: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-    Contratación pública; protección del medio ambiente; seguridad de los alimentos y los piensos, sanidad animal y bienestar animal; salud pública; protección de los consumidores y protección de la privacidad y de los datos personales, seguridad en las redes y sistemas de información -Anexo de la Directiva (UE) 2019/1937-.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-    Intereses financieros de la Unión Europea -Art. 325 del TFUE-.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-    Mercado interior, incluyendo infracciones en materia de competencia y ayudas otorgadas por los Estados, así como actos que infrinjan normas o prácticas cuya finalidad sea obtener una ventaja fiscal que desvirtúe el objeto del impuesto de sociedades.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-    Infracciones penales o administrativas graves y muy graves que impliquen quebranto a la Hacienda Pública y para la Seguridad Social.</w:t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lineRule="atLeast" w:line="300" w:before="0" w:after="0"/>
        <w:textAlignment w:val="baseline"/>
        <w:rPr/>
      </w:pP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La presentación de denuncias y seguimiento de las mismas se ha de realizar a través del siguiente procedimiento: </w:t>
      </w:r>
      <w:hyperlink r:id="rId2" w:tgtFrame="_blank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Ver</w:t>
        </w:r>
      </w:hyperlink>
    </w:p>
    <w:p>
      <w:pPr>
        <w:pStyle w:val="NormalWeb"/>
        <w:shd w:fill="FFFFFF" w:val="clear"/>
        <w:spacing w:lineRule="atLeast" w:line="300" w:before="0" w:after="0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lineRule="atLeast" w:line="300" w:before="0" w:after="0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NOTA IMPORTANTE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: En el caso de que los hechos denunciados sean de naturaleza distinta a los descritos anteriormente, se procederá a la inadmisión de la denuncia, procediéndose al archivo sin más trámite.</w:t>
      </w:r>
    </w:p>
    <w:p>
      <w:pPr>
        <w:pStyle w:val="Normal1"/>
        <w:widowControl w:val="false"/>
        <w:suppressAutoHyphens w:val="true"/>
        <w:spacing w:lineRule="auto" w:line="240" w:before="0" w:after="200"/>
        <w:jc w:val="both"/>
        <w:textAlignment w:val="baseline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47" w:right="1247" w:header="709" w:top="1418" w:footer="391" w:bottom="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Segoe UI Symbol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sz w:val="16"/>
        <w:szCs w:val="16"/>
      </w:rPr>
    </w:pPr>
    <w:r>
      <w:rPr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sz w:val="16"/>
              <w:szCs w:val="16"/>
            </w:rPr>
            <w:t xml:space="preserve">Página </w:t>
          </w:r>
          <w:r>
            <w:rPr>
              <w:rStyle w:val="Fuentedeprrafopredeter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</w:rPr>
            <w:instrText> PAGE </w:instrText>
          </w:r>
          <w:r>
            <w:rPr>
              <w:rStyle w:val="Fuentedeprrafopredeter"/>
              <w:sz w:val="16"/>
              <w:szCs w:val="16"/>
            </w:rPr>
            <w:fldChar w:fldCharType="separate"/>
          </w:r>
          <w:r>
            <w:rPr>
              <w:rStyle w:val="Fuentedeprrafopredeter"/>
              <w:sz w:val="16"/>
              <w:szCs w:val="16"/>
            </w:rPr>
            <w:t>1</w:t>
          </w:r>
          <w:r>
            <w:rPr>
              <w:rStyle w:val="Fuentedeprrafopredeter"/>
              <w:sz w:val="16"/>
              <w:szCs w:val="16"/>
            </w:rPr>
            <w:fldChar w:fldCharType="end"/>
          </w:r>
          <w:r>
            <w:rPr>
              <w:rStyle w:val="Fuentedeprrafopredeter"/>
              <w:sz w:val="16"/>
              <w:szCs w:val="16"/>
            </w:rPr>
            <w:t xml:space="preserve"> de </w:t>
          </w:r>
          <w:r>
            <w:rPr>
              <w:rStyle w:val="Fuentedeprrafopredeter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</w:rPr>
            <w:instrText> NUMPAGES </w:instrText>
          </w:r>
          <w:r>
            <w:rPr>
              <w:rStyle w:val="Fuentedeprrafopredeter"/>
              <w:sz w:val="16"/>
              <w:szCs w:val="16"/>
            </w:rPr>
            <w:fldChar w:fldCharType="separate"/>
          </w:r>
          <w:r>
            <w:rPr>
              <w:rStyle w:val="Fuentedeprrafopredeter"/>
              <w:sz w:val="16"/>
              <w:szCs w:val="16"/>
            </w:rPr>
            <w:t>1</w:t>
          </w:r>
          <w:r>
            <w:rPr>
              <w:rStyle w:val="Fuentedeprrafopredeter"/>
              <w:sz w:val="16"/>
              <w:szCs w:val="16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1480" w:type="dxa"/>
          <w:tcBorders/>
        </w:tcPr>
        <w:p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1480" w:type="dxa"/>
          <w:tcBorders/>
        </w:tcPr>
        <w:p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</w:tr>
  </w:tbl>
  <w:p>
    <w:pPr>
      <w:pStyle w:val="Piedepgina"/>
      <w:rPr>
        <w:sz w:val="12"/>
        <w:szCs w:val="12"/>
      </w:rPr>
    </w:pPr>
    <w:r>
      <w:rPr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before="0" w:after="0"/>
      <w:rPr/>
    </w:pPr>
    <w:r>
      <w:rPr/>
      <w:drawing>
        <wp:inline distT="0" distB="101600" distL="0" distR="0">
          <wp:extent cx="1231265" cy="467995"/>
          <wp:effectExtent l="0" t="0" r="0" b="0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spacing w:before="0" w:after="0"/>
      <w:rPr>
        <w:sz w:val="16"/>
        <w:szCs w:val="16"/>
      </w:rPr>
    </w:pPr>
    <w:r>
      <w:rPr>
        <w:sz w:val="16"/>
        <w:szCs w:val="16"/>
      </w:rPr>
    </w:r>
  </w:p>
  <w:p>
    <w:pPr>
      <w:pStyle w:val="Normal1"/>
      <w:spacing w:before="0" w:after="0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upp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1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zh-CN" w:val="es-E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numPr>
        <w:ilvl w:val="0"/>
        <w:numId w:val="1"/>
      </w:numPr>
      <w:tabs>
        <w:tab w:val="clear" w:pos="708"/>
        <w:tab w:val="left" w:pos="-148" w:leader="none"/>
      </w:tabs>
      <w:suppressAutoHyphens w:val="true"/>
      <w:outlineLvl w:val="0"/>
    </w:pPr>
    <w:rPr>
      <w:rFonts w:eastAsia="Times New Roman" w:cs="Times New Roman"/>
      <w:b/>
      <w:color w:val="000000"/>
      <w:u w:val="single" w:color="000000"/>
      <w:lang w:eastAsia="es-ES"/>
    </w:rPr>
  </w:style>
  <w:style w:type="paragraph" w:styleId="Ttulo2">
    <w:name w:val="Heading 2"/>
    <w:basedOn w:val="Ttulo1"/>
    <w:next w:val="Normal1"/>
    <w:qFormat/>
    <w:pPr>
      <w:numPr>
        <w:ilvl w:val="1"/>
        <w:numId w:val="1"/>
      </w:numPr>
      <w:tabs>
        <w:tab w:val="clear" w:pos="-148"/>
        <w:tab w:val="left" w:pos="-151" w:leader="none"/>
      </w:tabs>
      <w:suppressAutoHyphens w:val="true"/>
      <w:outlineLvl w:val="1"/>
    </w:pPr>
    <w:rPr>
      <w:rFonts w:ascii="Calibri" w:hAnsi="Calibri" w:cs="Calibri"/>
      <w:u w:val="none"/>
    </w:rPr>
  </w:style>
  <w:style w:type="paragraph" w:styleId="Ttulo3">
    <w:name w:val="Heading 3"/>
    <w:basedOn w:val="Normal1"/>
    <w:next w:val="Normal1"/>
    <w:qFormat/>
    <w:pPr>
      <w:keepNext w:val="true"/>
      <w:keepLines/>
      <w:numPr>
        <w:ilvl w:val="2"/>
        <w:numId w:val="1"/>
      </w:numPr>
      <w:suppressAutoHyphens w:val="true"/>
      <w:outlineLvl w:val="2"/>
    </w:pPr>
    <w:rPr>
      <w:rFonts w:eastAsia="Times New Roman"/>
      <w:b/>
      <w:szCs w:val="21"/>
    </w:rPr>
  </w:style>
  <w:style w:type="paragraph" w:styleId="Ttulo4">
    <w:name w:val="Heading 4"/>
    <w:basedOn w:val="Ttulo3"/>
    <w:next w:val="Normal1"/>
    <w:qFormat/>
    <w:pPr>
      <w:numPr>
        <w:ilvl w:val="3"/>
        <w:numId w:val="1"/>
      </w:numPr>
      <w:suppressAutoHyphens w:val="true"/>
      <w:outlineLvl w:val="3"/>
    </w:pPr>
    <w:rPr/>
  </w:style>
  <w:style w:type="paragraph" w:styleId="Ttulo5">
    <w:name w:val="Heading 5"/>
    <w:basedOn w:val="Normal1"/>
    <w:next w:val="Normal1"/>
    <w:qFormat/>
    <w:pPr>
      <w:keepNext w:val="true"/>
      <w:keepLines/>
      <w:numPr>
        <w:ilvl w:val="4"/>
        <w:numId w:val="1"/>
      </w:numPr>
      <w:suppressAutoHyphens w:val="true"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Ttulo6">
    <w:name w:val="Heading 6"/>
    <w:basedOn w:val="Normal1"/>
    <w:next w:val="Normal1"/>
    <w:qFormat/>
    <w:pPr>
      <w:keepNext w:val="true"/>
      <w:keepLines/>
      <w:numPr>
        <w:ilvl w:val="5"/>
        <w:numId w:val="1"/>
      </w:numPr>
      <w:suppressAutoHyphens w:val="true"/>
      <w:spacing w:before="40" w:after="0"/>
      <w:outlineLvl w:val="5"/>
    </w:pPr>
    <w:rPr>
      <w:rFonts w:ascii="Calibri Light" w:hAnsi="Calibri Light" w:eastAsia="Times New Roman"/>
      <w:color w:val="1F3763"/>
    </w:rPr>
  </w:style>
  <w:style w:type="paragraph" w:styleId="Ttulo7">
    <w:name w:val="Heading 7"/>
    <w:basedOn w:val="Normal1"/>
    <w:next w:val="Normal1"/>
    <w:qFormat/>
    <w:pPr>
      <w:keepNext w:val="true"/>
      <w:keepLines/>
      <w:numPr>
        <w:ilvl w:val="6"/>
        <w:numId w:val="1"/>
      </w:numPr>
      <w:suppressAutoHyphens w:val="true"/>
      <w:spacing w:before="40" w:after="0"/>
      <w:outlineLvl w:val="6"/>
    </w:pPr>
    <w:rPr>
      <w:rFonts w:ascii="Calibri Light" w:hAnsi="Calibri Light" w:eastAsia="Times New Roman"/>
      <w:i/>
      <w:iCs/>
      <w:color w:val="1F3763"/>
    </w:rPr>
  </w:style>
  <w:style w:type="paragraph" w:styleId="Ttulo8">
    <w:name w:val="Heading 8"/>
    <w:basedOn w:val="Normal1"/>
    <w:next w:val="Normal1"/>
    <w:qFormat/>
    <w:pPr>
      <w:keepNext w:val="true"/>
      <w:keepLines/>
      <w:numPr>
        <w:ilvl w:val="7"/>
        <w:numId w:val="1"/>
      </w:numPr>
      <w:suppressAutoHyphens w:val="true"/>
      <w:spacing w:before="40" w:after="0"/>
      <w:outlineLvl w:val="7"/>
    </w:pPr>
    <w:rPr>
      <w:rFonts w:ascii="Calibri Light" w:hAnsi="Calibri Light" w:eastAsia="Times New Roman"/>
      <w:color w:val="272727"/>
      <w:sz w:val="21"/>
      <w:szCs w:val="19"/>
    </w:rPr>
  </w:style>
  <w:style w:type="paragraph" w:styleId="Ttulo9">
    <w:name w:val="Heading 9"/>
    <w:basedOn w:val="Normal1"/>
    <w:next w:val="Normal1"/>
    <w:qFormat/>
    <w:pPr>
      <w:keepNext w:val="true"/>
      <w:keepLines/>
      <w:numPr>
        <w:ilvl w:val="8"/>
        <w:numId w:val="1"/>
      </w:numPr>
      <w:suppressAutoHyphens w:val="true"/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19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Hipervnculo">
    <w:name w:val="Hipervínculo"/>
    <w:basedOn w:val="Fuentedeprrafopredeter"/>
    <w:qFormat/>
    <w:rPr>
      <w:color w:val="0563C1"/>
      <w:u w:val="single"/>
    </w:rPr>
  </w:style>
  <w:style w:type="character" w:styleId="Mencinsinresolver">
    <w:name w:val="Mención sin resolver"/>
    <w:basedOn w:val="Fuentedeprrafopredeter"/>
    <w:qFormat/>
    <w:rPr>
      <w:color w:val="808080"/>
      <w:highlight w:val="white"/>
    </w:rPr>
  </w:style>
  <w:style w:type="character" w:styleId="TextodegloboCar">
    <w:name w:val="Texto de globo Car"/>
    <w:basedOn w:val="Fuentedeprrafopredeter"/>
    <w:qFormat/>
    <w:rPr>
      <w:rFonts w:ascii="Segoe UI" w:hAnsi="Segoe UI" w:eastAsia="Arial Unicode MS" w:cs="Mangal"/>
      <w:kern w:val="2"/>
      <w:sz w:val="18"/>
      <w:szCs w:val="16"/>
      <w:lang w:eastAsia="zh-CN" w:bidi="hi-IN"/>
    </w:rPr>
  </w:style>
  <w:style w:type="character" w:styleId="TtuloCar">
    <w:name w:val="Título Car"/>
    <w:basedOn w:val="Fuentedeprrafopredeter"/>
    <w:qFormat/>
    <w:rPr>
      <w:rFonts w:ascii="Calibri" w:hAnsi="Calibri" w:eastAsia="Times New Roman" w:cs="Mangal"/>
      <w:b/>
      <w:spacing w:val="-10"/>
      <w:kern w:val="2"/>
      <w:sz w:val="20"/>
      <w:szCs w:val="20"/>
      <w:u w:val="single"/>
      <w:lang w:eastAsia="zh-CN" w:bidi="hi-IN"/>
    </w:rPr>
  </w:style>
  <w:style w:type="character" w:styleId="Ttulo1Car">
    <w:name w:val="Título 1 Car"/>
    <w:basedOn w:val="Fuentedeprrafopredeter"/>
    <w:qFormat/>
    <w:rPr>
      <w:rFonts w:ascii="Calibri" w:hAnsi="Calibri" w:eastAsia="Times New Roman" w:cs="Times New Roman"/>
      <w:b/>
      <w:color w:val="000000"/>
      <w:kern w:val="2"/>
      <w:sz w:val="20"/>
      <w:szCs w:val="24"/>
      <w:u w:val="single" w:color="000000"/>
      <w:lang w:eastAsia="es-ES" w:bidi="hi-IN"/>
    </w:rPr>
  </w:style>
  <w:style w:type="character" w:styleId="WWCharLFO2LVL1">
    <w:name w:val="WW_CharLFO2LVL1"/>
    <w:qFormat/>
    <w:rPr>
      <w:rFonts w:ascii="Arial" w:hAnsi="Arial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2LVL2">
    <w:name w:val="WW_CharLFO2LVL2"/>
    <w:qFormat/>
    <w:rPr>
      <w:rFonts w:ascii="Calibri" w:hAnsi="Calibri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2LVL3">
    <w:name w:val="WW_CharLFO2LVL3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LVL4">
    <w:name w:val="WW_CharLFO2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LVL5">
    <w:name w:val="WW_CharLFO2LVL5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LVL6">
    <w:name w:val="WW_CharLFO2LVL6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LVL7">
    <w:name w:val="WW_CharLFO2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LVL8">
    <w:name w:val="WW_CharLFO2LVL8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LVL9">
    <w:name w:val="WW_CharLFO2LVL9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Ttulo2Car">
    <w:name w:val="Título 2 Car"/>
    <w:basedOn w:val="Fuentedeprrafopredeter"/>
    <w:qFormat/>
    <w:rPr>
      <w:rFonts w:eastAsia="Times New Roman" w:cs="Calibri"/>
      <w:b/>
      <w:color w:val="000000"/>
      <w:kern w:val="2"/>
      <w:sz w:val="20"/>
      <w:szCs w:val="24"/>
      <w:u w:val="none" w:color="000000"/>
      <w:lang w:eastAsia="es-ES" w:bidi="hi-IN"/>
    </w:rPr>
  </w:style>
  <w:style w:type="character" w:styleId="VietasCar">
    <w:name w:val="Viñetas Car"/>
    <w:basedOn w:val="Fuentedeprrafopredeter"/>
    <w:qFormat/>
    <w:rPr>
      <w:rFonts w:eastAsia="Arial Unicode MS" w:cs="Calibri"/>
      <w:kern w:val="2"/>
      <w:sz w:val="20"/>
      <w:szCs w:val="24"/>
      <w:lang w:eastAsia="zh-CN" w:bidi="hi-IN"/>
    </w:rPr>
  </w:style>
  <w:style w:type="character" w:styleId="Ttulo3Car">
    <w:name w:val="Título 3 Car"/>
    <w:basedOn w:val="Fuentedeprrafopredeter"/>
    <w:qFormat/>
    <w:rPr>
      <w:rFonts w:ascii="Calibri" w:hAnsi="Calibri" w:eastAsia="Times New Roman" w:cs="Mangal"/>
      <w:b/>
      <w:kern w:val="2"/>
      <w:sz w:val="20"/>
      <w:szCs w:val="21"/>
      <w:lang w:eastAsia="zh-CN" w:bidi="hi-IN"/>
    </w:rPr>
  </w:style>
  <w:style w:type="character" w:styleId="Ttulo4Car">
    <w:name w:val="Título 4 Car"/>
    <w:basedOn w:val="Fuentedeprrafopredeter"/>
    <w:qFormat/>
    <w:rPr>
      <w:rFonts w:ascii="Calibri" w:hAnsi="Calibri" w:eastAsia="Times New Roman" w:cs="Mangal"/>
      <w:b/>
      <w:kern w:val="2"/>
      <w:sz w:val="20"/>
      <w:szCs w:val="21"/>
      <w:lang w:eastAsia="zh-CN" w:bidi="hi-IN"/>
    </w:rPr>
  </w:style>
  <w:style w:type="character" w:styleId="Ttulo5Car">
    <w:name w:val="Título 5 Car"/>
    <w:basedOn w:val="Fuentedeprrafopredeter"/>
    <w:qFormat/>
    <w:rPr>
      <w:rFonts w:ascii="Calibri Light" w:hAnsi="Calibri Light" w:eastAsia="Times New Roman" w:cs="Mangal"/>
      <w:color w:val="2F5496"/>
      <w:kern w:val="2"/>
      <w:sz w:val="20"/>
      <w:szCs w:val="24"/>
      <w:lang w:eastAsia="zh-CN" w:bidi="hi-IN"/>
    </w:rPr>
  </w:style>
  <w:style w:type="character" w:styleId="Ttulo6Car">
    <w:name w:val="Título 6 Car"/>
    <w:basedOn w:val="Fuentedeprrafopredeter"/>
    <w:qFormat/>
    <w:rPr>
      <w:rFonts w:ascii="Calibri Light" w:hAnsi="Calibri Light" w:eastAsia="Times New Roman" w:cs="Mangal"/>
      <w:color w:val="1F3763"/>
      <w:kern w:val="2"/>
      <w:sz w:val="20"/>
      <w:szCs w:val="24"/>
      <w:lang w:eastAsia="zh-CN" w:bidi="hi-IN"/>
    </w:rPr>
  </w:style>
  <w:style w:type="character" w:styleId="Ttulo7Car">
    <w:name w:val="Título 7 Car"/>
    <w:basedOn w:val="Fuentedeprrafopredeter"/>
    <w:qFormat/>
    <w:rPr>
      <w:rFonts w:ascii="Calibri Light" w:hAnsi="Calibri Light" w:eastAsia="Times New Roman" w:cs="Mangal"/>
      <w:i/>
      <w:iCs/>
      <w:color w:val="1F3763"/>
      <w:kern w:val="2"/>
      <w:sz w:val="20"/>
      <w:szCs w:val="24"/>
      <w:lang w:eastAsia="zh-CN" w:bidi="hi-IN"/>
    </w:rPr>
  </w:style>
  <w:style w:type="character" w:styleId="Ttulo8Car">
    <w:name w:val="Título 8 Car"/>
    <w:basedOn w:val="Fuentedeprrafopredeter"/>
    <w:qFormat/>
    <w:rPr>
      <w:rFonts w:ascii="Calibri Light" w:hAnsi="Calibri Light" w:eastAsia="Times New Roman" w:cs="Mangal"/>
      <w:color w:val="272727"/>
      <w:kern w:val="2"/>
      <w:sz w:val="21"/>
      <w:szCs w:val="19"/>
      <w:lang w:eastAsia="zh-CN" w:bidi="hi-IN"/>
    </w:rPr>
  </w:style>
  <w:style w:type="character" w:styleId="Ttulo9Car">
    <w:name w:val="Título 9 Car"/>
    <w:basedOn w:val="Fuentedeprrafopredeter"/>
    <w:qFormat/>
    <w:rPr>
      <w:rFonts w:ascii="Calibri Light" w:hAnsi="Calibri Light" w:eastAsia="Times New Roman" w:cs="Mangal"/>
      <w:i/>
      <w:iCs/>
      <w:color w:val="272727"/>
      <w:kern w:val="2"/>
      <w:sz w:val="21"/>
      <w:szCs w:val="19"/>
      <w:lang w:eastAsia="zh-CN" w:bidi="hi-IN"/>
    </w:rPr>
  </w:style>
  <w:style w:type="character" w:styleId="TextoindependienteCar">
    <w:name w:val="Texto independiente Car"/>
    <w:basedOn w:val="Fuentedeprrafopredeter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WWCharLFO13LVL1">
    <w:name w:val="WW_CharLFO13LVL1"/>
    <w:qFormat/>
    <w:rPr>
      <w:rFonts w:ascii="Symbol" w:hAnsi="Symbol"/>
      <w:color w:val="000080"/>
      <w:sz w:val="22"/>
      <w:szCs w:val="16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SangradetextonormalCar">
    <w:name w:val="Sangría de texto normal Car"/>
    <w:basedOn w:val="Fuentedeprrafopredeter"/>
    <w:qFormat/>
    <w:rPr>
      <w:rFonts w:ascii="Calibri" w:hAnsi="Calibri" w:eastAsia="Arial Unicode MS" w:cs="Mangal"/>
      <w:kern w:val="2"/>
      <w:sz w:val="20"/>
      <w:szCs w:val="24"/>
      <w:lang w:eastAsia="zh-CN" w:bidi="hi-IN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WWCharLFO1LVL1">
    <w:name w:val="WW_CharLFO1LVL1"/>
    <w:qFormat/>
    <w:rPr>
      <w:rFonts w:ascii="Arial" w:hAnsi="Arial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1LVL2">
    <w:name w:val="WW_CharLFO1LVL2"/>
    <w:qFormat/>
    <w:rPr>
      <w:rFonts w:ascii="Calibri" w:hAnsi="Calibri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1LVL3">
    <w:name w:val="WW_CharLFO1LVL3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LVL4">
    <w:name w:val="WW_CharLFO1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LVL5">
    <w:name w:val="WW_CharLFO1LVL5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LVL6">
    <w:name w:val="WW_CharLFO1LVL6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LVL7">
    <w:name w:val="WW_CharLFO1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LVL8">
    <w:name w:val="WW_CharLFO1LVL8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LVL9">
    <w:name w:val="WW_CharLFO1LVL9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7LVL1">
    <w:name w:val="WW_CharLFO7LVL1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2">
    <w:name w:val="WW_CharLFO7LVL2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3">
    <w:name w:val="WW_CharLFO7LVL3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4">
    <w:name w:val="WW_CharLFO7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5">
    <w:name w:val="WW_CharLFO7LVL5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6">
    <w:name w:val="WW_CharLFO7LVL6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7">
    <w:name w:val="WW_CharLFO7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8">
    <w:name w:val="WW_CharLFO7LVL8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7LVL9">
    <w:name w:val="WW_CharLFO7LVL9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19"/>
      <w:sz w:val="19"/>
      <w:szCs w:val="19"/>
      <w:u w:val="none" w:color="000000"/>
      <w:vertAlign w:val="baseline"/>
    </w:rPr>
  </w:style>
  <w:style w:type="character" w:styleId="WWCharLFO11LVL1">
    <w:name w:val="WW_CharLFO11LVL1"/>
    <w:qFormat/>
    <w:rPr>
      <w:rFonts w:ascii="Arial" w:hAnsi="Arial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11LVL2">
    <w:name w:val="WW_CharLFO11LVL2"/>
    <w:qFormat/>
    <w:rPr>
      <w:rFonts w:ascii="Wingdings" w:hAnsi="Wingdings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11LVL3">
    <w:name w:val="WW_CharLFO11LVL3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1LVL4">
    <w:name w:val="WW_CharLFO11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1LVL5">
    <w:name w:val="WW_CharLFO11LVL5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1LVL6">
    <w:name w:val="WW_CharLFO11LVL6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1LVL7">
    <w:name w:val="WW_CharLFO11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1LVL8">
    <w:name w:val="WW_CharLFO11LVL8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1LVL9">
    <w:name w:val="WW_CharLFO11LVL9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1">
    <w:name w:val="WW_CharLFO12LVL1"/>
    <w:qFormat/>
    <w:rPr>
      <w:rFonts w:ascii="Arial" w:hAnsi="Arial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12LVL2">
    <w:name w:val="WW_CharLFO12LVL2"/>
    <w:qFormat/>
    <w:rPr>
      <w:rFonts w:ascii="Calibri" w:hAnsi="Calibri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WWCharLFO12LVL3">
    <w:name w:val="WW_CharLFO12LVL3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4">
    <w:name w:val="WW_CharLFO12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5">
    <w:name w:val="WW_CharLFO12LVL5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6">
    <w:name w:val="WW_CharLFO12LVL6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7">
    <w:name w:val="WW_CharLFO12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8">
    <w:name w:val="WW_CharLFO12LVL8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12LVL9">
    <w:name w:val="WW_CharLFO12LVL9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WWCharLFO22LVL1">
    <w:name w:val="WW_CharLFO22LVL1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2">
    <w:name w:val="WW_CharLFO22LVL2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3">
    <w:name w:val="WW_CharLFO22LVL3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4">
    <w:name w:val="WW_CharLFO22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5">
    <w:name w:val="WW_CharLFO22LVL5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6">
    <w:name w:val="WW_CharLFO22LVL6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7">
    <w:name w:val="WW_CharLFO22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8">
    <w:name w:val="WW_CharLFO22LVL8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2LVL9">
    <w:name w:val="WW_CharLFO22LVL9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CharLFO23LVL1">
    <w:name w:val="WW_CharLFO23LVL1"/>
    <w:qFormat/>
    <w:rPr>
      <w:rFonts w:ascii="Symbol" w:hAnsi="Symbol"/>
    </w:rPr>
  </w:style>
  <w:style w:type="character" w:styleId="WWCharLFO23LVL2">
    <w:name w:val="WW_CharLFO23LVL2"/>
    <w:qFormat/>
    <w:rPr>
      <w:rFonts w:ascii="Courier New" w:hAnsi="Courier New" w:cs="Courier New"/>
    </w:rPr>
  </w:style>
  <w:style w:type="character" w:styleId="WWCharLFO23LVL3">
    <w:name w:val="WW_CharLFO23LVL3"/>
    <w:qFormat/>
    <w:rPr>
      <w:rFonts w:ascii="Wingdings" w:hAnsi="Wingdings"/>
    </w:rPr>
  </w:style>
  <w:style w:type="character" w:styleId="WWCharLFO23LVL4">
    <w:name w:val="WW_CharLFO23LVL4"/>
    <w:qFormat/>
    <w:rPr>
      <w:rFonts w:ascii="Symbol" w:hAnsi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/>
    </w:rPr>
  </w:style>
  <w:style w:type="character" w:styleId="WWCharLFO23LVL7">
    <w:name w:val="WW_CharLFO23LVL7"/>
    <w:qFormat/>
    <w:rPr>
      <w:rFonts w:ascii="Symbol" w:hAnsi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/>
    </w:rPr>
  </w:style>
  <w:style w:type="character" w:styleId="WWCharLFO24LVL1">
    <w:name w:val="WW_CharLFO24LVL1"/>
    <w:qFormat/>
    <w:rPr>
      <w:rFonts w:ascii="Symbol" w:hAnsi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/>
    </w:rPr>
  </w:style>
  <w:style w:type="character" w:styleId="WWCharLFO24LVL4">
    <w:name w:val="WW_CharLFO24LVL4"/>
    <w:qFormat/>
    <w:rPr>
      <w:rFonts w:ascii="Symbol" w:hAnsi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/>
    </w:rPr>
  </w:style>
  <w:style w:type="character" w:styleId="WWCharLFO24LVL7">
    <w:name w:val="WW_CharLFO24LVL7"/>
    <w:qFormat/>
    <w:rPr>
      <w:rFonts w:ascii="Symbol" w:hAnsi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/>
    </w:rPr>
  </w:style>
  <w:style w:type="character" w:styleId="WWCharLFO25LVL1">
    <w:name w:val="WW_CharLFO25LVL1"/>
    <w:qFormat/>
    <w:rPr>
      <w:rFonts w:ascii="Symbol" w:hAnsi="Symbo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/>
    </w:rPr>
  </w:style>
  <w:style w:type="character" w:styleId="WWCharLFO25LVL4">
    <w:name w:val="WW_CharLFO25LVL4"/>
    <w:qFormat/>
    <w:rPr>
      <w:rFonts w:ascii="Symbol" w:hAnsi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/>
    </w:rPr>
  </w:style>
  <w:style w:type="character" w:styleId="WWCharLFO25LVL7">
    <w:name w:val="WW_CharLFO25LVL7"/>
    <w:qFormat/>
    <w:rPr>
      <w:rFonts w:ascii="Symbol" w:hAnsi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Normal1"/>
    <w:qFormat/>
    <w:pPr>
      <w:suppressAutoHyphens w:val="true"/>
    </w:pPr>
    <w:rPr>
      <w:rFonts w:eastAsia="Times New Roman"/>
      <w:b/>
      <w:spacing w:val="-10"/>
      <w:kern w:val="2"/>
      <w:szCs w:val="20"/>
      <w:u w:val="single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200"/>
      <w:jc w:val="both"/>
      <w:textAlignment w:val="baseline"/>
    </w:pPr>
    <w:rPr>
      <w:rFonts w:ascii="Calibri" w:hAnsi="Calibri" w:eastAsia="Arial Unicode MS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eastAsia="zh-CN" w:bidi="hi-IN" w:val="es-ES"/>
    </w:rPr>
  </w:style>
  <w:style w:type="paragraph" w:styleId="Encabezado">
    <w:name w:val="Encabezad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spacing w:before="0" w:after="0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1"/>
    <w:pPr>
      <w:tabs>
        <w:tab w:val="clear" w:pos="708"/>
        <w:tab w:val="center" w:pos="4252" w:leader="none"/>
        <w:tab w:val="right" w:pos="8504" w:leader="none"/>
      </w:tabs>
      <w:suppressAutoHyphens w:val="true"/>
      <w:spacing w:before="0" w:after="0"/>
    </w:pPr>
    <w:rPr/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08"/>
      </w:tabs>
      <w:suppressAutoHyphens w:val="true"/>
      <w:spacing w:before="0" w:after="160"/>
      <w:ind w:left="720" w:hanging="0"/>
      <w:contextualSpacing/>
    </w:pPr>
    <w:rPr/>
  </w:style>
  <w:style w:type="paragraph" w:styleId="Vietas">
    <w:name w:val="Viñetas"/>
    <w:basedOn w:val="Normal1"/>
    <w:qFormat/>
    <w:pPr>
      <w:widowControl/>
      <w:numPr>
        <w:ilvl w:val="0"/>
        <w:numId w:val="2"/>
      </w:numPr>
      <w:tabs>
        <w:tab w:val="clear" w:pos="708"/>
        <w:tab w:val="left" w:pos="0" w:leader="none"/>
      </w:tabs>
      <w:suppressAutoHyphens w:val="true"/>
      <w:spacing w:before="0" w:after="160"/>
      <w:contextualSpacing/>
      <w:textAlignment w:val="auto"/>
    </w:pPr>
    <w:rPr>
      <w:rFonts w:ascii="Calibri" w:hAnsi="Calibri" w:cs="Calibri"/>
    </w:rPr>
  </w:style>
  <w:style w:type="paragraph" w:styleId="Listaconvietas">
    <w:name w:val="Lista con viñetas"/>
    <w:basedOn w:val="Normal1"/>
    <w:qFormat/>
    <w:pPr>
      <w:widowControl/>
      <w:numPr>
        <w:ilvl w:val="0"/>
        <w:numId w:val="3"/>
      </w:numPr>
      <w:suppressAutoHyphens w:val="true"/>
      <w:spacing w:before="0" w:after="0"/>
      <w:textAlignment w:val="auto"/>
    </w:pPr>
    <w:rPr>
      <w:rFonts w:ascii="Garamond" w:hAnsi="Garamond" w:eastAsia="Times New Roman" w:cs="Times New Roman"/>
      <w:kern w:val="0"/>
      <w:sz w:val="22"/>
      <w:szCs w:val="20"/>
      <w:lang w:eastAsia="es-ES" w:bidi="ar-SA"/>
    </w:rPr>
  </w:style>
  <w:style w:type="paragraph" w:styleId="TtuloTDC">
    <w:name w:val="Título TDC"/>
    <w:basedOn w:val="Ttulo1"/>
    <w:next w:val="Normal1"/>
    <w:qFormat/>
    <w:pPr>
      <w:widowControl/>
      <w:numPr>
        <w:ilvl w:val="0"/>
        <w:numId w:val="0"/>
      </w:numPr>
      <w:tabs>
        <w:tab w:val="clear" w:pos="-148"/>
      </w:tabs>
      <w:suppressAutoHyphens w:val="true"/>
      <w:spacing w:lineRule="auto" w:line="256" w:before="240" w:after="0"/>
      <w:jc w:val="left"/>
      <w:textAlignment w:val="auto"/>
    </w:pPr>
    <w:rPr>
      <w:rFonts w:ascii="Calibri Light" w:hAnsi="Calibri Light" w:eastAsia="Times New Roman" w:cs="Times New Roman"/>
      <w:b w:val="false"/>
      <w:color w:val="2F5496"/>
      <w:kern w:val="0"/>
      <w:sz w:val="32"/>
      <w:szCs w:val="32"/>
      <w:u w:val="none"/>
      <w:lang w:bidi="ar-SA"/>
    </w:rPr>
  </w:style>
  <w:style w:type="paragraph" w:styleId="TDC1">
    <w:name w:val="TDC 1"/>
    <w:basedOn w:val="Normal1"/>
    <w:next w:val="Normal1"/>
    <w:autoRedefine/>
    <w:qFormat/>
    <w:pPr>
      <w:suppressAutoHyphens w:val="true"/>
      <w:spacing w:before="120" w:after="120"/>
      <w:jc w:val="left"/>
    </w:pPr>
    <w:rPr>
      <w:rFonts w:ascii="Calibri" w:hAnsi="Calibri" w:cs="Calibri"/>
      <w:b/>
      <w:bCs/>
      <w:caps/>
      <w:szCs w:val="20"/>
    </w:rPr>
  </w:style>
  <w:style w:type="paragraph" w:styleId="TDC2">
    <w:name w:val="TDC 2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200" w:hanging="0"/>
      <w:jc w:val="left"/>
    </w:pPr>
    <w:rPr>
      <w:rFonts w:ascii="Calibri" w:hAnsi="Calibri" w:cs="Calibri"/>
      <w:smallCaps/>
      <w:szCs w:val="20"/>
    </w:rPr>
  </w:style>
  <w:style w:type="paragraph" w:styleId="TDC3">
    <w:name w:val="TDC 3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400" w:hanging="0"/>
      <w:jc w:val="left"/>
    </w:pPr>
    <w:rPr>
      <w:rFonts w:ascii="Calibri" w:hAnsi="Calibri" w:cs="Calibri"/>
      <w:i/>
      <w:iCs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s-ES" w:eastAsia="en-US" w:bidi="ar-SA"/>
    </w:rPr>
  </w:style>
  <w:style w:type="paragraph" w:styleId="TDC4">
    <w:name w:val="TDC 4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600" w:hanging="0"/>
      <w:jc w:val="left"/>
    </w:pPr>
    <w:rPr>
      <w:rFonts w:ascii="Calibri" w:hAnsi="Calibri" w:cs="Calibri"/>
      <w:sz w:val="18"/>
      <w:szCs w:val="18"/>
    </w:rPr>
  </w:style>
  <w:style w:type="paragraph" w:styleId="Normal1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zh-CN" w:val="es-ES" w:bidi="ar-SA"/>
    </w:rPr>
  </w:style>
  <w:style w:type="paragraph" w:styleId="Textoindependiente">
    <w:name w:val="Texto independiente"/>
    <w:basedOn w:val="Normal1"/>
    <w:qFormat/>
    <w:pPr>
      <w:widowControl/>
      <w:suppressAutoHyphens w:val="true"/>
      <w:spacing w:lineRule="auto" w:line="360" w:before="0" w:after="0"/>
      <w:textAlignment w:val="auto"/>
    </w:pPr>
    <w:rPr>
      <w:rFonts w:ascii="Times New Roman" w:hAnsi="Times New Roman" w:eastAsia="Times New Roman" w:cs="Times New Roman"/>
      <w:kern w:val="0"/>
      <w:sz w:val="24"/>
      <w:szCs w:val="20"/>
      <w:lang w:eastAsia="ar-SA" w:bidi="ar-SA"/>
    </w:rPr>
  </w:style>
  <w:style w:type="paragraph" w:styleId="NormalWeb">
    <w:name w:val="Normal (Web)"/>
    <w:basedOn w:val="Normal1"/>
    <w:qFormat/>
    <w:pPr>
      <w:widowControl/>
      <w:suppressAutoHyphens w:val="true"/>
      <w:spacing w:before="100" w:after="119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4"/>
      <w:lang w:eastAsia="es-ES" w:bidi="ar-SA"/>
    </w:rPr>
  </w:style>
  <w:style w:type="paragraph" w:styleId="Sangradetextonormal">
    <w:name w:val="Sangría de texto normal"/>
    <w:basedOn w:val="Normal1"/>
    <w:qFormat/>
    <w:pPr>
      <w:tabs>
        <w:tab w:val="clear" w:pos="708"/>
      </w:tabs>
      <w:suppressAutoHyphens w:val="true"/>
      <w:spacing w:before="0" w:after="120"/>
      <w:ind w:left="283" w:hanging="0"/>
    </w:pPr>
    <w:rPr/>
  </w:style>
  <w:style w:type="paragraph" w:styleId="TDC5">
    <w:name w:val="TDC 5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800" w:hanging="0"/>
      <w:jc w:val="left"/>
    </w:pPr>
    <w:rPr>
      <w:rFonts w:ascii="Calibri" w:hAnsi="Calibri" w:cs="Calibri"/>
      <w:sz w:val="18"/>
      <w:szCs w:val="18"/>
    </w:rPr>
  </w:style>
  <w:style w:type="paragraph" w:styleId="TDC6">
    <w:name w:val="TDC 6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1000" w:hanging="0"/>
      <w:jc w:val="left"/>
    </w:pPr>
    <w:rPr>
      <w:rFonts w:ascii="Calibri" w:hAnsi="Calibri" w:cs="Calibri"/>
      <w:sz w:val="18"/>
      <w:szCs w:val="18"/>
    </w:rPr>
  </w:style>
  <w:style w:type="paragraph" w:styleId="TDC7">
    <w:name w:val="TDC 7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1200" w:hanging="0"/>
      <w:jc w:val="left"/>
    </w:pPr>
    <w:rPr>
      <w:rFonts w:ascii="Calibri" w:hAnsi="Calibri" w:cs="Calibri"/>
      <w:sz w:val="18"/>
      <w:szCs w:val="18"/>
    </w:rPr>
  </w:style>
  <w:style w:type="paragraph" w:styleId="TDC8">
    <w:name w:val="TDC 8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1400" w:hanging="0"/>
      <w:jc w:val="left"/>
    </w:pPr>
    <w:rPr>
      <w:rFonts w:ascii="Calibri" w:hAnsi="Calibri" w:cs="Calibri"/>
      <w:sz w:val="18"/>
      <w:szCs w:val="18"/>
    </w:rPr>
  </w:style>
  <w:style w:type="paragraph" w:styleId="TDC9">
    <w:name w:val="TDC 9"/>
    <w:basedOn w:val="Normal1"/>
    <w:next w:val="Normal1"/>
    <w:autoRedefine/>
    <w:qFormat/>
    <w:pPr>
      <w:tabs>
        <w:tab w:val="clear" w:pos="708"/>
      </w:tabs>
      <w:suppressAutoHyphens w:val="true"/>
      <w:spacing w:before="0" w:after="0"/>
      <w:ind w:left="1600" w:hanging="0"/>
      <w:jc w:val="left"/>
    </w:pPr>
    <w:rPr>
      <w:rFonts w:ascii="Calibri" w:hAnsi="Calibri" w:cs="Calibri"/>
      <w:sz w:val="18"/>
      <w:szCs w:val="18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ListaVietas">
    <w:name w:val="Lista Viñetas"/>
    <w:qFormat/>
  </w:style>
  <w:style w:type="numbering" w:styleId="LFO1">
    <w:name w:val="LFO1"/>
    <w:qFormat/>
  </w:style>
  <w:style w:type="numbering" w:styleId="LFO4">
    <w:name w:val="LFO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entinela.lefebvre.es/public/concept/1795235?access=YBymBJYnI8rzbS%2FXqf5qRZ6BGkuSGYHP6DzuhQ%2FyenM%3D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 LibreOffice_project/639b8ac485750d5696d7590a72ef1b496725cfb5</Application>
  <Pages>1</Pages>
  <Words>308</Words>
  <Characters>1651</Characters>
  <CharactersWithSpaces>1958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2024-03-05T10:32:00Z</dcterms:created>
  <dc:creator>Damián Hernández Martín</dc:creator>
  <dc:description/>
  <dc:language>es-ES</dc:language>
  <cp:lastModifiedBy/>
  <cp:lastPrinted>2024-03-05T10:31:00Z</cp:lastPrinted>
  <dcterms:modified xsi:type="dcterms:W3CDTF">2025-01-08T14:47:25Z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10</vt:lpwstr>
  </property>
  <property fmtid="{D5CDD505-2E9C-101B-9397-08002B2CF9AE}" pid="3" name="ContentTypeId">
    <vt:lpwstr>0x010100C5FB6740C797B3429B86635E75A845A2</vt:lpwstr>
  </property>
</Properties>
</file>