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246B401F" w:rsidR="00E70950" w:rsidRDefault="00762B40">
      <w:pPr>
        <w:pStyle w:val="Ttulo1"/>
        <w:pBdr>
          <w:bottom w:val="dashed" w:sz="6" w:space="4" w:color="DDDDDD"/>
        </w:pBdr>
        <w:spacing w:after="225"/>
      </w:pPr>
      <w:r w:rsidRPr="00762B40">
        <w:rPr>
          <w:b w:val="0"/>
          <w:bCs w:val="0"/>
          <w:color w:val="40495A"/>
          <w:sz w:val="39"/>
          <w:szCs w:val="39"/>
        </w:rPr>
        <w:t>Información básica sobre la financiación de la entidad</w:t>
      </w:r>
    </w:p>
    <w:p w14:paraId="64634F15" w14:textId="6905DBA6" w:rsidR="00E7095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Datos obtenidos de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color w:val="333333"/>
          <w:sz w:val="20"/>
          <w:szCs w:val="20"/>
        </w:rPr>
        <w:t>l</w:t>
      </w:r>
      <w:r>
        <w:rPr>
          <w:rFonts w:ascii="Helvetica" w:hAnsi="Helvetica" w:cs="Helvetica"/>
          <w:color w:val="333333"/>
          <w:sz w:val="20"/>
          <w:szCs w:val="20"/>
        </w:rPr>
        <w:t xml:space="preserve">a </w:t>
      </w:r>
      <w:r w:rsidRPr="00762B40">
        <w:rPr>
          <w:rFonts w:ascii="Helvetica" w:hAnsi="Helvetica" w:cs="Helvetica"/>
          <w:color w:val="333333"/>
          <w:sz w:val="20"/>
          <w:szCs w:val="20"/>
        </w:rPr>
        <w:t>ejecución del presupuesto</w:t>
      </w:r>
      <w:r>
        <w:rPr>
          <w:rFonts w:ascii="Helvetica" w:hAnsi="Helvetica" w:cs="Helvetica"/>
          <w:color w:val="333333"/>
          <w:sz w:val="20"/>
          <w:szCs w:val="20"/>
        </w:rPr>
        <w:t xml:space="preserve"> del ejercicio 202</w:t>
      </w:r>
      <w:r w:rsidR="00CD3087">
        <w:rPr>
          <w:rFonts w:ascii="Helvetica" w:hAnsi="Helvetica" w:cs="Helvetica"/>
          <w:color w:val="333333"/>
          <w:sz w:val="20"/>
          <w:szCs w:val="20"/>
        </w:rPr>
        <w:t>0</w:t>
      </w:r>
      <w:r>
        <w:rPr>
          <w:rFonts w:ascii="Helvetica" w:hAnsi="Helvetica" w:cs="Helvetica"/>
          <w:color w:val="333333"/>
          <w:sz w:val="20"/>
          <w:szCs w:val="20"/>
        </w:rPr>
        <w:t xml:space="preserve"> del Ayuntamiento</w:t>
      </w:r>
      <w:r w:rsidRPr="00762B40">
        <w:rPr>
          <w:rFonts w:ascii="Helvetica" w:hAnsi="Helvetica" w:cs="Helvetica"/>
          <w:color w:val="333333"/>
          <w:sz w:val="20"/>
          <w:szCs w:val="20"/>
        </w:rPr>
        <w:t>:</w:t>
      </w:r>
    </w:p>
    <w:p w14:paraId="59B45D43" w14:textId="776AAB61" w:rsidR="00762B40" w:rsidRDefault="00762B4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087A1451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TRIBUTARIOS.</w:t>
      </w:r>
    </w:p>
    <w:p w14:paraId="4E6A09AB" w14:textId="0E76C519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1. Impuestos directos: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134.507.017,15</w:t>
      </w:r>
      <w:r w:rsidR="00CD308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501BF55" w14:textId="69BAB278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2. Impuestos indirectos: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63.995.610,37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3F161465" w14:textId="6D58DC1F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3. Tasas, precios públicos y otros ingresos: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31.399.696,46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4D192B7A" w14:textId="77777777" w:rsidR="00762B40" w:rsidRPr="00762B40" w:rsidRDefault="00762B40" w:rsidP="00762B40">
      <w:pPr>
        <w:pStyle w:val="NormalWeb"/>
        <w:spacing w:after="135" w:line="300" w:lineRule="atLeast"/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</w:pPr>
      <w:r w:rsidRPr="00762B40"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INGRESOS NO TRIBUTARIOS.</w:t>
      </w:r>
    </w:p>
    <w:p w14:paraId="59A5B76B" w14:textId="2BA3D96D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4. Transferencias corrientes: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142.668.852,89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  <w:r w:rsidRPr="00762B4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457A6461" w14:textId="3A4C2137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5. Ingresos patrimoniales: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696.467,09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369B548" w14:textId="5F64EC91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6. Enajenación de inversiones reales: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652.692,92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95C4F0C" w14:textId="12EEEEAC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7. Transferencias de capital: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34.051.072,01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35512234" w14:textId="1587D614" w:rsidR="00762B40" w:rsidRPr="00762B40" w:rsidRDefault="00762B40" w:rsidP="00762B40">
      <w:pPr>
        <w:pStyle w:val="NormalWeb"/>
        <w:spacing w:after="135" w:line="300" w:lineRule="atLeast"/>
        <w:ind w:left="737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 xml:space="preserve">8. Activos Financieros: </w:t>
      </w:r>
      <w:r w:rsidR="00CD3087" w:rsidRPr="00CD3087">
        <w:rPr>
          <w:rFonts w:ascii="Helvetica" w:hAnsi="Helvetica" w:cs="Helvetica"/>
          <w:b/>
          <w:bCs/>
          <w:color w:val="333333"/>
          <w:sz w:val="20"/>
          <w:szCs w:val="20"/>
        </w:rPr>
        <w:t>77.352.431,79</w:t>
      </w:r>
      <w:r w:rsidR="00CD308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euros.</w:t>
      </w:r>
    </w:p>
    <w:p w14:paraId="523D927C" w14:textId="02C867F1" w:rsidR="00762B40" w:rsidRDefault="00762B40" w:rsidP="00762B40">
      <w:pPr>
        <w:pStyle w:val="NormalWeb"/>
        <w:spacing w:before="0" w:after="135" w:line="300" w:lineRule="atLeast"/>
        <w:ind w:left="737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762B40">
        <w:rPr>
          <w:rFonts w:ascii="Helvetica" w:hAnsi="Helvetica" w:cs="Helvetica"/>
          <w:color w:val="333333"/>
          <w:sz w:val="20"/>
          <w:szCs w:val="20"/>
        </w:rPr>
        <w:t>9. Pasivos Financieros: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,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0</w:t>
      </w:r>
      <w:r w:rsidRPr="00762B40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euros.</w:t>
      </w:r>
    </w:p>
    <w:p w14:paraId="05F73F2C" w14:textId="77777777" w:rsidR="001C4A31" w:rsidRPr="001C4A31" w:rsidRDefault="001C4A31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1C4A31" w:rsidRPr="001C4A31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CD3087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CD3087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 w:rsidTr="00762B40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2E82106F" w:rsidR="00402ED7" w:rsidRDefault="00CD308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256F00E5" w:rsidR="00402ED7" w:rsidRDefault="00CD3087">
          <w:pPr>
            <w:pStyle w:val="Piedepgina"/>
            <w:jc w:val="right"/>
          </w:pP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4EBD317D" w:rsidR="00402ED7" w:rsidRDefault="00CD308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CD308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4B2066F8" w:rsidR="00402ED7" w:rsidRDefault="00CD308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CD308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CD3087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7B77" w14:textId="08DEE1E9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8DD8D2F" w14:textId="367E0689" w:rsidR="00762B40" w:rsidRDefault="00762B4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1BCD9408" w14:textId="77777777" w:rsidR="00762B40" w:rsidRDefault="00762B4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CD308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1C03F9"/>
    <w:rsid w:val="001C4A31"/>
    <w:rsid w:val="00222FAE"/>
    <w:rsid w:val="00762B40"/>
    <w:rsid w:val="00A61A26"/>
    <w:rsid w:val="00CD3087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2022-10-17T06:35:00Z</cp:lastPrinted>
  <dcterms:created xsi:type="dcterms:W3CDTF">2022-10-17T06:38:00Z</dcterms:created>
  <dcterms:modified xsi:type="dcterms:W3CDTF">2022-10-17T06:38:00Z</dcterms:modified>
</cp:coreProperties>
</file>