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647AB" w14:textId="77777777" w:rsidR="008637F7" w:rsidRDefault="00255DE7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>
        <w:rPr>
          <w:b w:val="0"/>
          <w:bCs w:val="0"/>
          <w:color w:val="40495A"/>
          <w:sz w:val="39"/>
          <w:szCs w:val="39"/>
        </w:rPr>
        <w:t>Gasto en concepto de personal y su porcentaje sobre el gasto total</w:t>
      </w:r>
    </w:p>
    <w:p w14:paraId="25183274" w14:textId="3B72D371" w:rsidR="008637F7" w:rsidRDefault="00255DE7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Información revisada en </w:t>
      </w:r>
      <w:r w:rsidR="00BB6428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septiembre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</w:t>
      </w:r>
      <w:r w:rsidR="00E51585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4</w:t>
      </w:r>
    </w:p>
    <w:p w14:paraId="2C5462FC" w14:textId="3614EE74" w:rsidR="008637F7" w:rsidRDefault="00255DE7">
      <w:pPr>
        <w:widowControl/>
        <w:suppressAutoHyphens w:val="0"/>
        <w:spacing w:line="300" w:lineRule="atLeast"/>
        <w:jc w:val="lef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Los indicadores del año 202</w:t>
      </w:r>
      <w:r w:rsidR="00E51585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3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tienen carácter provisional por cuánto aún no ha sido aprobada la Cuenta General del ejercicio.</w:t>
      </w:r>
    </w:p>
    <w:tbl>
      <w:tblPr>
        <w:tblW w:w="127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701"/>
        <w:gridCol w:w="1701"/>
        <w:gridCol w:w="1701"/>
        <w:gridCol w:w="1701"/>
        <w:gridCol w:w="1503"/>
        <w:gridCol w:w="1503"/>
      </w:tblGrid>
      <w:tr w:rsidR="00BB6428" w14:paraId="6CA87BF6" w14:textId="6B30E20B" w:rsidTr="00BB6428">
        <w:trPr>
          <w:trHeight w:val="845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62507" w14:textId="77777777" w:rsidR="00BB6428" w:rsidRDefault="00BB6428" w:rsidP="00BB642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76253" w14:textId="77777777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2017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3C964" w14:textId="77777777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1E6DC" w14:textId="77777777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23E32" w14:textId="77777777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8C773" w14:textId="77777777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2021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14:paraId="45A7A96B" w14:textId="09A4D6D4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2022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vAlign w:val="center"/>
          </w:tcPr>
          <w:p w14:paraId="1988C5B1" w14:textId="183DE5F3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2023</w:t>
            </w:r>
          </w:p>
        </w:tc>
      </w:tr>
      <w:tr w:rsidR="00BB6428" w14:paraId="2450AC35" w14:textId="78520CC6" w:rsidTr="00BB6428">
        <w:trPr>
          <w:trHeight w:val="460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88FDF" w14:textId="77777777" w:rsidR="00BB6428" w:rsidRDefault="00BB6428" w:rsidP="00BB642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en Personal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40918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121.371.344,52 €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DC891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121.748.367,65 €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43D44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116.810.342,86 €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F2455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121.154.642,70 €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11A76C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121.433.143,73 €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D758478" w14:textId="651D0C5F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119.777.905,16 €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9FE6DF" w14:textId="58098782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121.477.414,0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6 €</w:t>
            </w:r>
          </w:p>
        </w:tc>
      </w:tr>
      <w:tr w:rsidR="00BB6428" w14:paraId="0A7F333F" w14:textId="4D95BB34" w:rsidTr="00BB6428">
        <w:trPr>
          <w:trHeight w:val="460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B3C27" w14:textId="77777777" w:rsidR="00BB6428" w:rsidRDefault="00BB6428" w:rsidP="00BB642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Gasto total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F8845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321.519.080,67 €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BB2AF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311.251.150,79 €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2A18A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331.264.546,35 €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C0D4A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336.329.709,69 €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6A7C5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334.999.468,80 €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ADDBF85" w14:textId="07A993DD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333.625.950,57 €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EF7811" w14:textId="4A35623E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385.170.703,36</w:t>
            </w: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 xml:space="preserve"> €</w:t>
            </w:r>
          </w:p>
        </w:tc>
      </w:tr>
      <w:tr w:rsidR="00BB6428" w14:paraId="163D934F" w14:textId="002B95BE" w:rsidTr="00BB6428">
        <w:trPr>
          <w:trHeight w:val="460"/>
        </w:trPr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DA2F8" w14:textId="77777777" w:rsidR="00BB6428" w:rsidRDefault="00BB6428" w:rsidP="00BB6428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20"/>
                <w:szCs w:val="20"/>
                <w:lang w:eastAsia="es-ES" w:bidi="ar-SA"/>
              </w:rPr>
              <w:t>Porcentaje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1EEF0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37,75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86E24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39,12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625C8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35,26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4472A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36,02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B0A79" w14:textId="77777777" w:rsidR="00BB6428" w:rsidRDefault="00BB6428" w:rsidP="00BB6428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36,25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1C99AB7" w14:textId="4F0690CD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 w:rsidRPr="00BB6428"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35,90</w:t>
            </w:r>
          </w:p>
        </w:tc>
        <w:tc>
          <w:tcPr>
            <w:tcW w:w="15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FBFEE5" w14:textId="72CDB4DA" w:rsidR="00BB6428" w:rsidRDefault="00BB6428" w:rsidP="00BB6428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kern w:val="0"/>
                <w:sz w:val="18"/>
                <w:szCs w:val="18"/>
                <w:lang w:eastAsia="es-ES" w:bidi="ar-SA"/>
              </w:rPr>
              <w:t>31,54</w:t>
            </w:r>
          </w:p>
        </w:tc>
      </w:tr>
    </w:tbl>
    <w:p w14:paraId="5348FEE3" w14:textId="77777777" w:rsidR="008637F7" w:rsidRDefault="008637F7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8637F7" w:rsidSect="00BB6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81E8" w14:textId="77777777" w:rsidR="00255DE7" w:rsidRDefault="00255DE7">
      <w:pPr>
        <w:spacing w:after="0"/>
      </w:pPr>
      <w:r>
        <w:separator/>
      </w:r>
    </w:p>
  </w:endnote>
  <w:endnote w:type="continuationSeparator" w:id="0">
    <w:p w14:paraId="1075AEBB" w14:textId="77777777" w:rsidR="00255DE7" w:rsidRDefault="00255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1E5F" w14:textId="77777777" w:rsidR="0025575B" w:rsidRDefault="002557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08A7C" w14:textId="77777777" w:rsidR="00255DE7" w:rsidRDefault="00255DE7">
    <w:pPr>
      <w:pStyle w:val="Piedepgina"/>
      <w:rPr>
        <w:rFonts w:ascii="Calibri" w:hAnsi="Calibri" w:cs="Calibri"/>
        <w:sz w:val="16"/>
        <w:szCs w:val="16"/>
      </w:rPr>
    </w:pPr>
  </w:p>
  <w:p w14:paraId="34CD9322" w14:textId="77777777" w:rsidR="00255DE7" w:rsidRDefault="00255DE7">
    <w:pPr>
      <w:pStyle w:val="Piedepgina"/>
      <w:rPr>
        <w:rFonts w:ascii="Calibri" w:hAnsi="Calibri" w:cs="Calibri"/>
        <w:sz w:val="16"/>
        <w:szCs w:val="16"/>
      </w:rPr>
    </w:pPr>
  </w:p>
  <w:tbl>
    <w:tblPr>
      <w:tblW w:w="1275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960"/>
      <w:gridCol w:w="1798"/>
    </w:tblGrid>
    <w:tr w:rsidR="00B61ED8" w14:paraId="696CCE1D" w14:textId="77777777" w:rsidTr="00BB6428">
      <w:trPr>
        <w:trHeight w:val="269"/>
      </w:trPr>
      <w:tc>
        <w:tcPr>
          <w:tcW w:w="1096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D926242" w14:textId="48B88C7B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  <w:r w:rsidR="00BB6428">
            <w:rPr>
              <w:rFonts w:ascii="Calibri" w:hAnsi="Calibri" w:cs="Calibri"/>
              <w:sz w:val="16"/>
              <w:szCs w:val="16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17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D04ED4" w14:textId="77777777" w:rsidR="00255DE7" w:rsidRDefault="00255DE7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5575B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5575B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61ED8" w14:paraId="6FFC230B" w14:textId="77777777" w:rsidTr="00BB6428">
      <w:trPr>
        <w:trHeight w:val="269"/>
      </w:trPr>
      <w:tc>
        <w:tcPr>
          <w:tcW w:w="10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E2C2A18" w14:textId="7348F689" w:rsidR="00255DE7" w:rsidRDefault="0025575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7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F57A259" w14:textId="77777777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61ED8" w14:paraId="274D9185" w14:textId="77777777" w:rsidTr="00BB6428">
      <w:trPr>
        <w:trHeight w:val="269"/>
      </w:trPr>
      <w:tc>
        <w:tcPr>
          <w:tcW w:w="1096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6D960B9" w14:textId="761BAB5A" w:rsidR="00255DE7" w:rsidRDefault="0025575B" w:rsidP="0025575B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55DE7">
            <w:rPr>
              <w:rFonts w:ascii="Calibri" w:hAnsi="Calibri" w:cs="Calibri"/>
              <w:sz w:val="16"/>
              <w:szCs w:val="16"/>
            </w:rPr>
            <w:t>@laspalmasgc.es | www.laspalmasgc.es</w:t>
          </w:r>
          <w:bookmarkStart w:id="0" w:name="_GoBack"/>
          <w:bookmarkEnd w:id="0"/>
        </w:p>
      </w:tc>
      <w:tc>
        <w:tcPr>
          <w:tcW w:w="17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C605945" w14:textId="77777777" w:rsidR="00255DE7" w:rsidRDefault="00255DE7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65D472E8" w14:textId="77777777" w:rsidR="00255DE7" w:rsidRDefault="00255DE7">
    <w:pPr>
      <w:pStyle w:val="Piedepgina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AED2C" w14:textId="77777777" w:rsidR="0025575B" w:rsidRDefault="00255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D433" w14:textId="77777777" w:rsidR="00255DE7" w:rsidRDefault="00255DE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0443F7" w14:textId="77777777" w:rsidR="00255DE7" w:rsidRDefault="00255D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BF7B" w14:textId="77777777" w:rsidR="0025575B" w:rsidRDefault="002557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EF10" w14:textId="68D10B6D" w:rsidR="00255DE7" w:rsidRDefault="00255DE7" w:rsidP="00E51585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5BE15F4C" wp14:editId="7011CF48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626268580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C533C5" w14:textId="77777777" w:rsidR="00255DE7" w:rsidRDefault="00255D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235FE92E" w14:textId="77777777" w:rsidR="00255DE7" w:rsidRDefault="00255DE7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24C59" w14:textId="77777777" w:rsidR="0025575B" w:rsidRDefault="002557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885"/>
    <w:multiLevelType w:val="multilevel"/>
    <w:tmpl w:val="A7421EAE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0AD5AA9"/>
    <w:multiLevelType w:val="multilevel"/>
    <w:tmpl w:val="B194E6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F7"/>
    <w:rsid w:val="0025575B"/>
    <w:rsid w:val="00255DE7"/>
    <w:rsid w:val="003B50F7"/>
    <w:rsid w:val="005252BE"/>
    <w:rsid w:val="008637F7"/>
    <w:rsid w:val="00BB6428"/>
    <w:rsid w:val="00E51585"/>
    <w:rsid w:val="00E7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1C7485"/>
  <w15:docId w15:val="{9075E7AC-51BC-4048-B49E-6367981D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">
    <w:name w:val="WW_OutlineListStyle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3</cp:revision>
  <cp:lastPrinted>2022-10-17T17:17:00Z</cp:lastPrinted>
  <dcterms:created xsi:type="dcterms:W3CDTF">2024-09-10T12:22:00Z</dcterms:created>
  <dcterms:modified xsi:type="dcterms:W3CDTF">2024-09-11T08:23:00Z</dcterms:modified>
</cp:coreProperties>
</file>