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>
          <w:b w:val="false"/>
          <w:b w:val="false"/>
          <w:bCs w:val="false"/>
          <w:color w:val="40495A"/>
          <w:sz w:val="39"/>
          <w:szCs w:val="39"/>
        </w:rPr>
      </w:pPr>
      <w:r>
        <w:rPr>
          <w:b w:val="false"/>
          <w:bCs w:val="false"/>
          <w:color w:val="40495A"/>
          <w:sz w:val="39"/>
          <w:szCs w:val="39"/>
        </w:rPr>
        <w:t>Indicadores financieros, patrimoniales y presupuestarios</w:t>
      </w:r>
    </w:p>
    <w:p>
      <w:pPr>
        <w:pStyle w:val="Ttulo2"/>
        <w:numPr>
          <w:ilvl w:val="0"/>
          <w:numId w:val="0"/>
        </w:numPr>
        <w:tabs>
          <w:tab w:val="clear" w:pos="0"/>
        </w:tabs>
        <w:spacing w:before="270" w:after="135"/>
        <w:ind w:left="1004" w:hanging="0"/>
        <w:rPr>
          <w:rFonts w:ascii="inherit" w:hAnsi="inherit"/>
          <w:bCs w:val="false"/>
          <w:color w:val="000000"/>
          <w:sz w:val="26"/>
          <w:szCs w:val="26"/>
        </w:rPr>
      </w:pPr>
      <w:r>
        <w:rPr>
          <w:rFonts w:ascii="inherit" w:hAnsi="inherit"/>
          <w:bCs w:val="false"/>
          <w:color w:val="000000"/>
          <w:sz w:val="26"/>
          <w:szCs w:val="26"/>
        </w:rPr>
      </w:r>
    </w:p>
    <w:p>
      <w:pPr>
        <w:pStyle w:val="Cuerpodetexto"/>
        <w:tabs>
          <w:tab w:val="clear" w:pos="737"/>
        </w:tabs>
        <w:spacing w:before="270" w:after="135"/>
        <w:ind w:left="720" w:hanging="436"/>
        <w:rPr>
          <w:rFonts w:ascii="inherit" w:hAnsi="inherit"/>
          <w:bCs w:val="false"/>
          <w:color w:val="000000"/>
          <w:sz w:val="26"/>
          <w:szCs w:val="26"/>
        </w:rPr>
      </w:pPr>
      <w:r>
        <w:rPr>
          <w:rStyle w:val="Muydestacado"/>
          <w:rFonts w:ascii="inherit" w:hAnsi="inherit"/>
          <w:color w:val="000000"/>
          <w:sz w:val="26"/>
          <w:szCs w:val="26"/>
        </w:rPr>
        <w:t xml:space="preserve">A la fecha del presente informe, están pendientes de la liquidación del ejercicio 2024. </w:t>
      </w:r>
    </w:p>
    <w:p>
      <w:pPr>
        <w:pStyle w:val="Ttulo2"/>
        <w:tabs>
          <w:tab w:val="clear" w:pos="0"/>
        </w:tabs>
        <w:spacing w:before="270" w:after="135"/>
        <w:ind w:left="720" w:hanging="436"/>
        <w:rPr>
          <w:rFonts w:ascii="inherit" w:hAnsi="inherit"/>
          <w:bCs w:val="false"/>
          <w:color w:val="000000"/>
          <w:sz w:val="26"/>
          <w:szCs w:val="26"/>
        </w:rPr>
      </w:pPr>
      <w:r>
        <w:rPr>
          <w:rFonts w:ascii="inherit" w:hAnsi="inherit"/>
          <w:bCs w:val="false"/>
          <w:color w:val="000000"/>
          <w:sz w:val="26"/>
          <w:szCs w:val="26"/>
        </w:rPr>
        <w:t>Indicadores por habitante</w:t>
      </w:r>
    </w:p>
    <w:tbl>
      <w:tblPr>
        <w:tblW w:w="9498" w:type="dxa"/>
        <w:jc w:val="left"/>
        <w:tblInd w:w="240" w:type="dxa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65"/>
        <w:gridCol w:w="1230"/>
        <w:gridCol w:w="992"/>
        <w:gridCol w:w="992"/>
        <w:gridCol w:w="992"/>
        <w:gridCol w:w="993"/>
        <w:gridCol w:w="1134"/>
      </w:tblGrid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textAlignment w:val="auto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Superávit (o déficit) / Nº habitantes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225.62€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163,98€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122,18€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166,22€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171,48€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178,10€ </w:t>
            </w:r>
          </w:p>
        </w:tc>
      </w:tr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Ingresos fiscales (Ingresos fiscales capítulo I,II,III / Nº habitantes)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622,56€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586,38€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517,38€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546,73€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545,71€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604,68€ </w:t>
            </w:r>
          </w:p>
        </w:tc>
      </w:tr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Gastos (Obligaciones reconocidas netas / Nº habitantes)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814,16€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866,51€ 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879,76€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876,28€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872,69€ 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1.007,52€ </w:t>
            </w:r>
          </w:p>
        </w:tc>
      </w:tr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Inversión (Obligaciones reconocidas netas (Cap. VI y VII) / Nº habitantes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109,35€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125,64€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140,84€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121,42€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82,11€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109,26€ </w:t>
            </w:r>
          </w:p>
        </w:tc>
      </w:tr>
      <w:tr>
        <w:trPr/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Endeudamiento / Nº habitantes</w:t>
            </w:r>
          </w:p>
        </w:tc>
        <w:tc>
          <w:tcPr>
            <w:tcW w:w="1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463,92€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464,29€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563,34€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574,74€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720,21€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758,45€ </w:t>
            </w:r>
          </w:p>
        </w:tc>
      </w:tr>
    </w:tbl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  <w:t>Deuda Viva</w:t>
      </w:r>
      <w:bookmarkStart w:id="0" w:name="DeudaViva"/>
      <w:bookmarkEnd w:id="0"/>
    </w:p>
    <w:p>
      <w:pPr>
        <w:pStyle w:val="NormalWeb"/>
        <w:spacing w:lineRule="atLeast" w:line="300" w:before="0" w:after="0"/>
        <w:textAlignment w:val="baseline"/>
        <w:rPr/>
      </w:pPr>
      <w:r>
        <w:rPr>
          <w:rStyle w:val="Fuentedeprrafopredeter"/>
          <w:rFonts w:ascii="Helvetica" w:hAnsi="Helvetica"/>
          <w:color w:val="333333"/>
          <w:sz w:val="20"/>
          <w:szCs w:val="20"/>
        </w:rPr>
        <w:t>Información extraída de la Central de Información Económico-Financiera de las Administraciones Públicas del Ministerio de Hacienda. </w:t>
      </w:r>
      <w:hyperlink r:id="rId2" w:tgtFrame="_blank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Puede consultarla a través de este enlace</w:t>
        </w:r>
      </w:hyperlink>
      <w:r>
        <w:rPr>
          <w:rStyle w:val="Fuentedeprrafopredeter"/>
          <w:rFonts w:ascii="Helvetica" w:hAnsi="Helvetica"/>
          <w:color w:val="333333"/>
          <w:sz w:val="20"/>
          <w:szCs w:val="20"/>
        </w:rPr>
        <w:t>.</w:t>
      </w:r>
    </w:p>
    <w:tbl>
      <w:tblPr>
        <w:tblW w:w="9498" w:type="dxa"/>
        <w:jc w:val="left"/>
        <w:tblInd w:w="240" w:type="dxa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19"/>
        <w:gridCol w:w="1276"/>
        <w:gridCol w:w="992"/>
        <w:gridCol w:w="992"/>
        <w:gridCol w:w="992"/>
        <w:gridCol w:w="993"/>
        <w:gridCol w:w="1134"/>
      </w:tblGrid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widowControl w:val="false"/>
              <w:suppressAutoHyphens w:val="true"/>
              <w:spacing w:before="0" w:after="200"/>
              <w:jc w:val="both"/>
              <w:textAlignment w:val="baseline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Deuda Viva (Euro/Miles)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0,05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1481,17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1346,21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2482,22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1010,23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709,23 </w:t>
            </w:r>
          </w:p>
        </w:tc>
      </w:tr>
    </w:tbl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</w:r>
    </w:p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</w:r>
    </w:p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  <w:t>Endeudamiento</w:t>
      </w:r>
      <w:bookmarkStart w:id="1" w:name="Endeudamiento"/>
      <w:bookmarkEnd w:id="1"/>
    </w:p>
    <w:tbl>
      <w:tblPr>
        <w:tblW w:w="9498" w:type="dxa"/>
        <w:jc w:val="left"/>
        <w:tblInd w:w="240" w:type="dxa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19"/>
        <w:gridCol w:w="1276"/>
        <w:gridCol w:w="992"/>
        <w:gridCol w:w="992"/>
        <w:gridCol w:w="992"/>
        <w:gridCol w:w="993"/>
        <w:gridCol w:w="1134"/>
      </w:tblGrid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widowControl w:val="false"/>
              <w:suppressAutoHyphens w:val="true"/>
              <w:spacing w:before="0" w:after="200"/>
              <w:jc w:val="both"/>
              <w:textAlignment w:val="baseline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Indicador financiero de Endeudamiento (pasivo corriente + pasivo no corriente)/(pasivo corriente +pasivo no corriente + patrimonio neto)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0,10€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0,10€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0,12€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0,12€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0,14€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0,14€ </w:t>
            </w:r>
          </w:p>
        </w:tc>
      </w:tr>
    </w:tbl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  <w:t>Endeudamiento relativo</w:t>
      </w:r>
      <w:bookmarkStart w:id="2" w:name="Endeudamiento_relativo"/>
      <w:bookmarkEnd w:id="2"/>
    </w:p>
    <w:tbl>
      <w:tblPr>
        <w:tblW w:w="9498" w:type="dxa"/>
        <w:jc w:val="left"/>
        <w:tblInd w:w="240" w:type="dxa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19"/>
        <w:gridCol w:w="1276"/>
        <w:gridCol w:w="992"/>
        <w:gridCol w:w="992"/>
        <w:gridCol w:w="992"/>
        <w:gridCol w:w="993"/>
        <w:gridCol w:w="1134"/>
      </w:tblGrid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widowControl w:val="false"/>
              <w:suppressAutoHyphens w:val="true"/>
              <w:spacing w:before="0" w:after="200"/>
              <w:jc w:val="both"/>
              <w:textAlignment w:val="baseline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0"/>
                <w:szCs w:val="20"/>
                <w:highlight w:val="white"/>
              </w:rPr>
              <w:t>Indicador financiero Endeudamiento Relativo Capítulo 1-9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0,00%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0,39%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0,37%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0,66%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0,27%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0,17%  </w:t>
            </w:r>
          </w:p>
        </w:tc>
      </w:tr>
      <w:tr>
        <w:trPr/>
        <w:tc>
          <w:tcPr>
            <w:tcW w:w="3119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>
                <w:rStyle w:val="Fuentedeprrafopredeter"/>
                <w:rFonts w:cs="Helvetica" w:ascii="Helvetica" w:hAnsi="Helvetica"/>
                <w:color w:val="333333"/>
                <w:sz w:val="20"/>
                <w:szCs w:val="20"/>
                <w:highlight w:val="white"/>
              </w:rPr>
              <w:t>Indicador financiero Endeudamiento Relativo Capítulo 1-5</w:t>
            </w:r>
          </w:p>
        </w:tc>
        <w:tc>
          <w:tcPr>
            <w:tcW w:w="1276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0,00% </w:t>
            </w:r>
          </w:p>
        </w:tc>
        <w:tc>
          <w:tcPr>
            <w:tcW w:w="99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0,40% </w:t>
            </w:r>
          </w:p>
        </w:tc>
        <w:tc>
          <w:tcPr>
            <w:tcW w:w="99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0,39% </w:t>
            </w:r>
          </w:p>
        </w:tc>
        <w:tc>
          <w:tcPr>
            <w:tcW w:w="992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0,69% </w:t>
            </w:r>
          </w:p>
        </w:tc>
        <w:tc>
          <w:tcPr>
            <w:tcW w:w="993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0,27% </w:t>
            </w:r>
          </w:p>
        </w:tc>
        <w:tc>
          <w:tcPr>
            <w:tcW w:w="1134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0,17% </w:t>
            </w:r>
          </w:p>
        </w:tc>
      </w:tr>
    </w:tbl>
    <w:p>
      <w:pPr>
        <w:pStyle w:val="Ttulo3"/>
        <w:tabs>
          <w:tab w:val="clear" w:pos="737"/>
          <w:tab w:val="left" w:pos="0" w:leader="none"/>
        </w:tabs>
        <w:spacing w:before="270" w:after="135"/>
        <w:ind w:left="0" w:hanging="0"/>
        <w:rPr>
          <w:rFonts w:ascii="inherit" w:hAnsi="inherit"/>
          <w:b w:val="false"/>
          <w:b w:val="false"/>
          <w:bCs w:val="false"/>
          <w:color w:val="00B1D1"/>
          <w:sz w:val="24"/>
          <w:szCs w:val="24"/>
        </w:rPr>
      </w:pPr>
      <w:r>
        <w:rPr>
          <w:rFonts w:ascii="inherit" w:hAnsi="inherit"/>
          <w:b w:val="false"/>
          <w:bCs w:val="false"/>
          <w:color w:val="00B1D1"/>
          <w:sz w:val="24"/>
          <w:szCs w:val="24"/>
        </w:rPr>
        <w:t>Autonomía Fiscal</w:t>
      </w:r>
      <w:bookmarkStart w:id="3" w:name="Autonomia_Fiscal"/>
      <w:bookmarkEnd w:id="3"/>
    </w:p>
    <w:tbl>
      <w:tblPr>
        <w:tblW w:w="9498" w:type="dxa"/>
        <w:jc w:val="left"/>
        <w:tblInd w:w="240" w:type="dxa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119"/>
        <w:gridCol w:w="1276"/>
        <w:gridCol w:w="992"/>
        <w:gridCol w:w="992"/>
        <w:gridCol w:w="992"/>
        <w:gridCol w:w="993"/>
        <w:gridCol w:w="1134"/>
      </w:tblGrid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widowControl w:val="false"/>
              <w:suppressAutoHyphens w:val="true"/>
              <w:spacing w:before="0" w:after="200"/>
              <w:jc w:val="both"/>
              <w:textAlignment w:val="baseline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fill="DDDDDD" w:val="clear"/>
            <w:vAlign w:val="center"/>
          </w:tcPr>
          <w:p>
            <w:pPr>
              <w:pStyle w:val="Normal1"/>
              <w:spacing w:before="0" w:after="200"/>
              <w:jc w:val="center"/>
              <w:rPr/>
            </w:pPr>
            <w:r>
              <w:rPr>
                <w:rStyle w:val="Bold"/>
                <w:rFonts w:ascii="inherit" w:hAnsi="inherit"/>
                <w:sz w:val="20"/>
                <w:szCs w:val="20"/>
              </w:rPr>
              <w:t>2023</w:t>
            </w:r>
          </w:p>
        </w:tc>
      </w:tr>
      <w:tr>
        <w:trPr/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left"/>
              <w:rPr/>
            </w:pPr>
            <w:r>
              <w:rPr/>
              <w:t>Autonomía fiscal (Derechos reconocidos netos de ingresos tributarios/Derechos reconocidos netos totales)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0,56€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0,55€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0,51€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 xml:space="preserve">0,54€ </w:t>
            </w:r>
          </w:p>
        </w:tc>
        <w:tc>
          <w:tcPr>
            <w:tcW w:w="9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>0,51€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Normal1"/>
              <w:spacing w:before="0" w:after="200"/>
              <w:jc w:val="right"/>
              <w:rPr/>
            </w:pPr>
            <w:r>
              <w:rPr/>
              <w:t>0,52€</w:t>
            </w:r>
          </w:p>
        </w:tc>
      </w:tr>
    </w:tbl>
    <w:p>
      <w:pPr>
        <w:pStyle w:val="Normal1"/>
        <w:widowControl w:val="false"/>
        <w:suppressAutoHyphens w:val="true"/>
        <w:spacing w:before="0" w:after="200"/>
        <w:jc w:val="both"/>
        <w:textAlignment w:val="baseline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inherit"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Humnst777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1"/>
      <w:gridCol w:w="1481"/>
    </w:tblGrid>
    <w:tr>
      <w:trPr/>
      <w:tc>
        <w:tcPr>
          <w:tcW w:w="7931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1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1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928 446 698</w:t>
          </w:r>
        </w:p>
      </w:tc>
      <w:tc>
        <w:tcPr>
          <w:tcW w:w="1481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1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transparencia@laspalmasgc.es | www.laspalmasgc.es</w:t>
          </w:r>
        </w:p>
      </w:tc>
      <w:tc>
        <w:tcPr>
          <w:tcW w:w="1481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  <w:lang w:eastAsia="es-ES" w:bidi="ar-SA"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s-E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tabs>
        <w:tab w:val="left" w:pos="0" w:leader="none"/>
      </w:tabs>
      <w:suppressAutoHyphens w:val="true"/>
      <w:ind w:left="0" w:hanging="436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Destacado">
    <w:name w:val="Destacado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SimSu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EnlacedeInternet">
    <w:name w:val="Enlace de Internet"/>
    <w:basedOn w:val="Fuentedeprrafopredeter"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  <w:textAlignment w:val="baseline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Textoindependiente">
    <w:name w:val="Texto independiente"/>
    <w:basedOn w:val="Normal1"/>
    <w:qFormat/>
    <w:pPr>
      <w:suppressAutoHyphens w:val="true"/>
      <w:spacing w:lineRule="auto" w:line="276" w:before="0" w:after="140"/>
    </w:pPr>
    <w:rPr/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Puesto">
    <w:name w:val="Puesto"/>
    <w:basedOn w:val="Ttulo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Cabeceraypie">
    <w:name w:val="Cabecera y pie"/>
    <w:basedOn w:val="Normal1"/>
    <w:qFormat/>
    <w:pPr>
      <w:suppressAutoHyphens w:val="true"/>
    </w:pPr>
    <w:rPr/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ind w:left="720" w:hanging="0"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280" w:after="28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ontenidodelatabla">
    <w:name w:val="Contenido de la tabla"/>
    <w:basedOn w:val="Normal1"/>
    <w:qFormat/>
    <w:pPr>
      <w:suppressLineNumbers/>
      <w:suppressAutoHyphens w:val="true"/>
    </w:pPr>
    <w:rPr/>
  </w:style>
  <w:style w:type="paragraph" w:styleId="Ttulodelatabla">
    <w:name w:val="Título de la tabla"/>
    <w:basedOn w:val="Contenidodelatabla"/>
    <w:qFormat/>
    <w:pPr>
      <w:suppressAutoHyphens w:val="true"/>
      <w:jc w:val="center"/>
    </w:pPr>
    <w:rPr>
      <w:b/>
      <w:bCs/>
    </w:rPr>
  </w:style>
  <w:style w:type="paragraph" w:styleId="Cabecera">
    <w:name w:val="Header"/>
    <w:basedOn w:val="Cabeceraypie"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uscadorcdi.gob.es/cifra/es/buscador/resultados/DeudaAyuntamientos-S-1313-05-35-016-A-A-000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LibreOffice/6.4.7.2$Windows_x86 LibreOffice_project/639b8ac485750d5696d7590a72ef1b496725cfb5</Application>
  <Pages>2</Pages>
  <Words>249</Words>
  <Characters>1554</Characters>
  <CharactersWithSpaces>1758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2024-09-26T12:48:00Z</dcterms:created>
  <dc:creator>Damián Hernández Martín</dc:creator>
  <dc:description/>
  <dc:language>es-ES</dc:language>
  <cp:lastModifiedBy/>
  <cp:lastPrinted>2022-10-11T06:44:00Z</cp:lastPrinted>
  <dcterms:modified xsi:type="dcterms:W3CDTF">2025-03-07T09:53:50Z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