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B3B" w:rsidRDefault="004D5B3B">
      <w:pPr>
        <w:rPr>
          <w:rFonts w:cs="Calibri"/>
          <w:szCs w:val="22"/>
        </w:rPr>
      </w:pPr>
      <w:bookmarkStart w:id="0" w:name="_GoBack"/>
      <w:bookmarkEnd w:id="0"/>
    </w:p>
    <w:p w:rsidR="004D5B3B" w:rsidRDefault="007C4327">
      <w:pPr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Mesas de Contratación: Composición, forma de designación y convocatorias</w:t>
      </w:r>
    </w:p>
    <w:p w:rsidR="004D5B3B" w:rsidRDefault="004D5B3B">
      <w:pPr>
        <w:rPr>
          <w:rFonts w:cs="Calibri"/>
          <w:szCs w:val="22"/>
        </w:rPr>
      </w:pPr>
    </w:p>
    <w:p w:rsidR="004D5B3B" w:rsidRDefault="007C4327">
      <w:pPr>
        <w:pStyle w:val="Ttulo4"/>
        <w:keepNext w:val="0"/>
        <w:keepLines w:val="0"/>
        <w:widowControl/>
      </w:pPr>
      <w:r>
        <w:t>A) Composición de la Mesa de Contratación.</w:t>
      </w:r>
    </w:p>
    <w:p w:rsidR="004D5B3B" w:rsidRDefault="007C4327">
      <w:pPr>
        <w:pStyle w:val="NormalWeb"/>
      </w:pPr>
      <w:r>
        <w:t xml:space="preserve">Por acuerdo de La Junta de Gobierno de La Ciudad de fecha 22 de </w:t>
      </w:r>
      <w:r>
        <w:t>marzo de 2018, se constituye de manera permanente la Mesa de Contratación del Ayuntamiento de Las Palmas de Gran Canaria.</w:t>
      </w:r>
    </w:p>
    <w:p w:rsidR="004D5B3B" w:rsidRDefault="007C4327">
      <w:pPr>
        <w:pStyle w:val="NormalWeb"/>
      </w:pPr>
      <w:r>
        <w:t>Por acuerdo de la Junta de Gobierno de la Ciudad de 15 de abril de 2021, se aprobó la Modificación de la Composición de la Mesa de Con</w:t>
      </w:r>
      <w:r>
        <w:t>tratación Permanente, como consecuencia de la Organización Administrativa a nivel de Servicios aprobada por Decreto del Alcalde número 42072/2020, de 28 de noviembre.</w:t>
      </w:r>
    </w:p>
    <w:p w:rsidR="004D5B3B" w:rsidRDefault="007C4327">
      <w:pPr>
        <w:pStyle w:val="NormalWeb"/>
      </w:pPr>
      <w:r>
        <w:t>Por acuerdo adoptado por la Junta de Gobierno de la Ciudad de Las Palmas de Gran Canaria,</w:t>
      </w:r>
      <w:r>
        <w:t xml:space="preserve"> en sesión ordinaria celebrada el 1 de febrero de 2024, por el que se modifica la composición de la Mesa de Contratación Permanente del Ayuntamiento de Las Palmas de Gran Canaria:</w:t>
      </w:r>
    </w:p>
    <w:p w:rsidR="004D5B3B" w:rsidRDefault="007C4327">
      <w:pPr>
        <w:pStyle w:val="NormalWeb"/>
      </w:pPr>
      <w:r>
        <w:rPr>
          <w:rStyle w:val="Textoennegrita"/>
        </w:rPr>
        <w:t>Presidente/a</w:t>
      </w:r>
      <w:r>
        <w:t xml:space="preserve">: La persona que desempeñe la Dirección General de Contratación </w:t>
      </w:r>
      <w:r>
        <w:t>y Patrimonio.</w:t>
      </w:r>
    </w:p>
    <w:p w:rsidR="004D5B3B" w:rsidRDefault="007C4327">
      <w:pPr>
        <w:pStyle w:val="NormalWeb"/>
      </w:pPr>
      <w:r>
        <w:rPr>
          <w:rStyle w:val="Textoennegrita"/>
        </w:rPr>
        <w:t>Suplente</w:t>
      </w:r>
      <w:r>
        <w:t>: La persona que desempeñe la Jefatura de Servicio de Contratación, la persona que desempeñe la Dirección General de Gobernanza o la titular del Órgano de Gestión Tributaria.</w:t>
      </w:r>
    </w:p>
    <w:p w:rsidR="004D5B3B" w:rsidRDefault="007C4327">
      <w:pPr>
        <w:pStyle w:val="NormalWeb"/>
      </w:pPr>
      <w:r>
        <w:rPr>
          <w:rStyle w:val="Textoennegrita"/>
        </w:rPr>
        <w:t>Vocales</w:t>
      </w:r>
      <w:r>
        <w:t>:</w:t>
      </w:r>
    </w:p>
    <w:p w:rsidR="004D5B3B" w:rsidRDefault="007C4327">
      <w:pPr>
        <w:pStyle w:val="NormalWeb"/>
      </w:pPr>
      <w:r>
        <w:t>Representante de la Asesoría Jurídica.</w:t>
      </w:r>
    </w:p>
    <w:p w:rsidR="004D5B3B" w:rsidRDefault="007C4327">
      <w:pPr>
        <w:pStyle w:val="NormalWeb"/>
      </w:pPr>
      <w:r>
        <w:t>Titular: La</w:t>
      </w:r>
      <w:r>
        <w:t xml:space="preserve"> persona que desempeñe la Dirección General de la Asesoría Jurídica.</w:t>
      </w:r>
      <w:r>
        <w:br/>
      </w:r>
      <w:r>
        <w:t>Suplente: Alguno/a de los Letrados/as funcionarios/as adscritos/as a dicho órgano.</w:t>
      </w:r>
    </w:p>
    <w:p w:rsidR="004D5B3B" w:rsidRDefault="007C4327">
      <w:pPr>
        <w:pStyle w:val="NormalWeb"/>
      </w:pPr>
      <w:r>
        <w:t>Representante de Intervención General</w:t>
      </w:r>
    </w:p>
    <w:p w:rsidR="004D5B3B" w:rsidRDefault="007C4327">
      <w:pPr>
        <w:pStyle w:val="NormalWeb"/>
      </w:pPr>
      <w:r>
        <w:t>Titular: La persona que desempeñe el puesto de Interventor/a Gener</w:t>
      </w:r>
      <w:r>
        <w:t>al.</w:t>
      </w:r>
      <w:r>
        <w:br/>
      </w:r>
      <w:r>
        <w:t>Suplente: Indistintamente, la persona que desempeñe el puesto de Intervención General Adjunta o Viceinterventor/a, o Jefe/a/s de Servicio y Sección adscritos a la Intervención General.</w:t>
      </w:r>
    </w:p>
    <w:p w:rsidR="004D5B3B" w:rsidRDefault="007C4327">
      <w:pPr>
        <w:pStyle w:val="NormalWeb"/>
      </w:pPr>
      <w:r>
        <w:t>Vocal técnico/a 1:</w:t>
      </w:r>
    </w:p>
    <w:p w:rsidR="004D5B3B" w:rsidRDefault="007C4327">
      <w:pPr>
        <w:pStyle w:val="NormalWeb"/>
      </w:pPr>
      <w:r>
        <w:t>Titular: La persona que desempeñe la Jefatura de</w:t>
      </w:r>
      <w:r>
        <w:t>l Servicio de Contratación.</w:t>
      </w:r>
      <w:r>
        <w:br/>
      </w:r>
      <w:r>
        <w:t>Suplente : Indistintamente, la persona que desempeñe la Jefatura de Sección de Obras; o la Jefatura de Sección de Suministros; o la Jefatura de Sección de Servicios.</w:t>
      </w:r>
    </w:p>
    <w:p w:rsidR="004D5B3B" w:rsidRDefault="007C4327">
      <w:pPr>
        <w:pStyle w:val="NormalWeb"/>
      </w:pPr>
      <w:r>
        <w:t>Vocal técnico/a 2 (rotatoria salvo ausencia, vacante, enfermed</w:t>
      </w:r>
      <w:r>
        <w:t>ad o imposibilidad, y siempre que no promueva un expediente a tratar en la Mesa de Contratación):</w:t>
      </w:r>
    </w:p>
    <w:p w:rsidR="004D5B3B" w:rsidRDefault="007C4327">
      <w:pPr>
        <w:widowControl/>
        <w:numPr>
          <w:ilvl w:val="0"/>
          <w:numId w:val="2"/>
        </w:numPr>
        <w:spacing w:after="0"/>
      </w:pPr>
      <w:r>
        <w:t>La persona titular del Órgano de Gestión Tributaria</w:t>
      </w:r>
    </w:p>
    <w:p w:rsidR="004D5B3B" w:rsidRDefault="007C4327">
      <w:pPr>
        <w:widowControl/>
        <w:numPr>
          <w:ilvl w:val="0"/>
          <w:numId w:val="2"/>
        </w:numPr>
        <w:spacing w:after="0"/>
      </w:pPr>
      <w:r>
        <w:t>La persona que desempeñe la Jefatura de Servicios de Tributos</w:t>
      </w:r>
    </w:p>
    <w:p w:rsidR="004D5B3B" w:rsidRDefault="007C4327">
      <w:pPr>
        <w:widowControl/>
        <w:numPr>
          <w:ilvl w:val="0"/>
          <w:numId w:val="2"/>
        </w:numPr>
        <w:spacing w:after="0"/>
      </w:pPr>
      <w:r>
        <w:t xml:space="preserve">La persona que desempeñe la Jefatura de </w:t>
      </w:r>
      <w:r>
        <w:t>Servicio de Patrimonio</w:t>
      </w:r>
    </w:p>
    <w:p w:rsidR="004D5B3B" w:rsidRDefault="007C4327">
      <w:pPr>
        <w:widowControl/>
        <w:numPr>
          <w:ilvl w:val="0"/>
          <w:numId w:val="2"/>
        </w:numPr>
        <w:spacing w:after="0"/>
      </w:pPr>
      <w:r>
        <w:t>La persona que desempeñe la Jefatura de Servicio de Tesorería</w:t>
      </w:r>
    </w:p>
    <w:p w:rsidR="004D5B3B" w:rsidRDefault="007C4327">
      <w:pPr>
        <w:pStyle w:val="NormalWeb"/>
      </w:pPr>
      <w:r>
        <w:t>En caso de ausencia, vacante, enfermedad o imposibilidad de los anteriores, la persona que desempeñe cualesquiera jefaturas de servicio o sección del Ayuntamiento, siempre</w:t>
      </w:r>
      <w:r>
        <w:t xml:space="preserve"> que no promueva un expediente a tratar en la Mesa de Contratación</w:t>
      </w:r>
    </w:p>
    <w:p w:rsidR="004D5B3B" w:rsidRDefault="007C4327">
      <w:pPr>
        <w:pStyle w:val="NormalWeb"/>
      </w:pPr>
      <w:r>
        <w:lastRenderedPageBreak/>
        <w:t> </w:t>
      </w:r>
    </w:p>
    <w:p w:rsidR="004D5B3B" w:rsidRDefault="007C4327">
      <w:pPr>
        <w:pStyle w:val="NormalWeb"/>
      </w:pPr>
      <w:r>
        <w:rPr>
          <w:rStyle w:val="Textoennegrita"/>
        </w:rPr>
        <w:t xml:space="preserve">Vocal Secretario/a </w:t>
      </w:r>
      <w:r>
        <w:t>(intervendrá con voz y sin voto): </w:t>
      </w:r>
    </w:p>
    <w:p w:rsidR="004D5B3B" w:rsidRDefault="007C4327">
      <w:pPr>
        <w:pStyle w:val="NormalWeb"/>
      </w:pPr>
      <w:r>
        <w:t>Titular: Indistintamente, la persona que desempeñe la Jefatura de Sección de Obras; la Jefatura de Sección de Suministros o la Jefatu</w:t>
      </w:r>
      <w:r>
        <w:t>ra de Sección de Servicios.</w:t>
      </w:r>
    </w:p>
    <w:p w:rsidR="004D5B3B" w:rsidRDefault="007C4327">
      <w:pPr>
        <w:pStyle w:val="NormalWeb"/>
      </w:pPr>
      <w:r>
        <w:t>Suplentes: Indistintamente, la persona que desempeñe cualesquiera de las jefaturas de negociado adscritas al Servicio de Contratación o personal funcionario que preste sus servicios en éste.</w:t>
      </w:r>
      <w:r>
        <w:rPr>
          <w:rStyle w:val="Textoennegrita"/>
        </w:rPr>
        <w:t xml:space="preserve"> </w:t>
      </w:r>
    </w:p>
    <w:p w:rsidR="004D5B3B" w:rsidRDefault="007C4327">
      <w:pPr>
        <w:pStyle w:val="NormalWeb"/>
      </w:pPr>
      <w:r>
        <w:t> </w:t>
      </w:r>
    </w:p>
    <w:p w:rsidR="004D5B3B" w:rsidRDefault="007C4327">
      <w:pPr>
        <w:pStyle w:val="Ttulo4"/>
        <w:keepNext w:val="0"/>
        <w:keepLines w:val="0"/>
        <w:widowControl/>
      </w:pPr>
      <w:r>
        <w:t>B) Forma de designación.</w:t>
      </w:r>
    </w:p>
    <w:p w:rsidR="004D5B3B" w:rsidRDefault="007C4327">
      <w:pPr>
        <w:pStyle w:val="NormalWeb"/>
      </w:pPr>
      <w:r>
        <w:t xml:space="preserve">Mediante </w:t>
      </w:r>
      <w:r>
        <w:t>acuerdo de la Junta de Gobierno de la Ciudad, adoptado en sesión ordinaria de 1 de febrero de 2024.</w:t>
      </w:r>
    </w:p>
    <w:p w:rsidR="004D5B3B" w:rsidRDefault="007C4327">
      <w:pPr>
        <w:pStyle w:val="NormalWeb"/>
      </w:pPr>
      <w:r>
        <w:t> </w:t>
      </w:r>
    </w:p>
    <w:p w:rsidR="004D5B3B" w:rsidRDefault="007C4327">
      <w:pPr>
        <w:pStyle w:val="Ttulo4"/>
        <w:keepNext w:val="0"/>
        <w:keepLines w:val="0"/>
        <w:widowControl/>
      </w:pPr>
      <w:r>
        <w:t>C) Convocatorias de la Mesa de Contratación.</w:t>
      </w:r>
    </w:p>
    <w:p w:rsidR="004D5B3B" w:rsidRDefault="007C4327">
      <w:pPr>
        <w:pStyle w:val="NormalWeb"/>
      </w:pPr>
      <w:r>
        <w:t>Las convocatorias de la Mesa de Contratación se efectúan:</w:t>
      </w:r>
    </w:p>
    <w:p w:rsidR="004D5B3B" w:rsidRDefault="007C4327">
      <w:pPr>
        <w:widowControl/>
        <w:numPr>
          <w:ilvl w:val="0"/>
          <w:numId w:val="3"/>
        </w:numPr>
        <w:spacing w:after="0"/>
      </w:pPr>
      <w:r>
        <w:t>Mediante la convocatoria a título personal a cada u</w:t>
      </w:r>
      <w:r>
        <w:t>no de los integrantes del órgano colegiado.</w:t>
      </w:r>
    </w:p>
    <w:p w:rsidR="004D5B3B" w:rsidRDefault="007C4327">
      <w:pPr>
        <w:widowControl/>
        <w:numPr>
          <w:ilvl w:val="0"/>
          <w:numId w:val="3"/>
        </w:numPr>
        <w:spacing w:after="0"/>
      </w:pPr>
      <w:r>
        <w:t>Exposición pública en la Plataforma de Contratación del Sector Público.</w:t>
      </w:r>
    </w:p>
    <w:p w:rsidR="004D5B3B" w:rsidRDefault="007C4327">
      <w:pPr>
        <w:pStyle w:val="NormalWeb"/>
      </w:pPr>
      <w:r>
        <w:t>Todo ello figura acreditado en los antecedentes obrantes en la dependencia competente.</w:t>
      </w:r>
    </w:p>
    <w:p w:rsidR="004D5B3B" w:rsidRDefault="004D5B3B">
      <w:pPr>
        <w:rPr>
          <w:rFonts w:cs="Calibri"/>
          <w:szCs w:val="22"/>
        </w:rPr>
      </w:pPr>
    </w:p>
    <w:sectPr w:rsidR="004D5B3B">
      <w:headerReference w:type="default" r:id="rId7"/>
      <w:footerReference w:type="default" r:id="rId8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327" w:rsidRDefault="007C4327">
      <w:pPr>
        <w:spacing w:after="0"/>
      </w:pPr>
      <w:r>
        <w:separator/>
      </w:r>
    </w:p>
  </w:endnote>
  <w:endnote w:type="continuationSeparator" w:id="0">
    <w:p w:rsidR="007C4327" w:rsidRDefault="007C4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0C" w:rsidRDefault="007C4327">
    <w:pPr>
      <w:pStyle w:val="Piedepgina"/>
      <w:rPr>
        <w:rFonts w:ascii="Calibri" w:hAnsi="Calibri" w:cs="Calibri"/>
        <w:sz w:val="16"/>
        <w:szCs w:val="16"/>
      </w:rPr>
    </w:pPr>
  </w:p>
  <w:p w:rsidR="00C5720C" w:rsidRDefault="007C4327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C5720C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007FF2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007FF2">
            <w:rPr>
              <w:rFonts w:ascii="Calibri" w:hAnsi="Calibri" w:cs="Calibri"/>
              <w:noProof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C5720C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C5720C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5720C" w:rsidRDefault="007C432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C5720C" w:rsidRDefault="007C4327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327" w:rsidRDefault="007C432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C4327" w:rsidRDefault="007C4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20C" w:rsidRDefault="007C4327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-503550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5720C" w:rsidRDefault="007C432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3C7"/>
    <w:multiLevelType w:val="multilevel"/>
    <w:tmpl w:val="E19CA55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7C13354"/>
    <w:multiLevelType w:val="multilevel"/>
    <w:tmpl w:val="A54869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7E7A5438"/>
    <w:multiLevelType w:val="multilevel"/>
    <w:tmpl w:val="5CEAFE8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 w:cs="Courier New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  <w:sz w:val="20"/>
      </w:rPr>
    </w:lvl>
    <w:lvl w:ilvl="5">
      <w:numFmt w:val="bullet"/>
      <w:lvlText w:val="o"/>
      <w:lvlJc w:val="left"/>
      <w:pPr>
        <w:ind w:left="4320" w:hanging="360"/>
      </w:pPr>
      <w:rPr>
        <w:rFonts w:ascii="Courier New" w:hAnsi="Courier New" w:cs="Courier New"/>
        <w:sz w:val="20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 w:cs="Courier New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  <w:sz w:val="20"/>
      </w:rPr>
    </w:lvl>
    <w:lvl w:ilvl="8">
      <w:numFmt w:val="bullet"/>
      <w:lvlText w:val="o"/>
      <w:lvlJc w:val="left"/>
      <w:pPr>
        <w:ind w:left="6480" w:hanging="360"/>
      </w:pPr>
      <w:rPr>
        <w:rFonts w:ascii="Courier New" w:hAnsi="Courier New" w:cs="Courier New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D5B3B"/>
    <w:rsid w:val="00007FF2"/>
    <w:rsid w:val="004D5B3B"/>
    <w:rsid w:val="007C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AAC0-2C1D-48FD-9024-EBBF70B8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after="200"/>
      <w:jc w:val="both"/>
    </w:pPr>
    <w:rPr>
      <w:rFonts w:ascii="Calibri" w:hAnsi="Calibri" w:cs="Lucida Sans"/>
      <w:kern w:val="3"/>
      <w:sz w:val="22"/>
      <w:szCs w:val="24"/>
      <w:lang w:eastAsia="zh-CN" w:bidi="hi-IN"/>
    </w:rPr>
  </w:style>
  <w:style w:type="paragraph" w:styleId="Ttulo1">
    <w:name w:val="heading 1"/>
    <w:basedOn w:val="Normal"/>
    <w:next w:val="Textbody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等线 Light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pPr>
      <w:widowControl w:val="0"/>
      <w:suppressAutoHyphens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pPr>
      <w:ind w:left="720"/>
    </w:pPr>
    <w:rPr>
      <w:rFonts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styleId="nfasis">
    <w:name w:val="Emphasis"/>
    <w:basedOn w:val="Fuentedeprrafopredeter"/>
    <w:rPr>
      <w:i/>
      <w:iCs/>
    </w:rPr>
  </w:style>
  <w:style w:type="character" w:styleId="Textoennegrita">
    <w:name w:val="Strong"/>
    <w:basedOn w:val="Fuentedeprrafopredeter"/>
    <w:rPr>
      <w:b/>
      <w:bCs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Lista">
    <w:name w:val="List"/>
    <w:basedOn w:val="Textbody"/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Puest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等线 Light" w:hAnsi="Calibri Light" w:cs="Mangal"/>
      <w:i/>
      <w:iCs/>
      <w:color w:val="2F549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</cp:revision>
  <cp:lastPrinted>2022-10-10T07:39:00Z</cp:lastPrinted>
  <dcterms:created xsi:type="dcterms:W3CDTF">2024-09-27T09:28:00Z</dcterms:created>
  <dcterms:modified xsi:type="dcterms:W3CDTF">2024-09-27T09:28:00Z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3082-12.2.0.16909</vt:lpwstr>
  </property>
  <property fmtid="{D5CDD505-2E9C-101B-9397-08002B2CF9AE}" pid="3" name="ICV">
    <vt:lpwstr>93F92FC6A3FE4834865D4BD501026567_13</vt:lpwstr>
  </property>
</Properties>
</file>